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_GBK" w:hAnsi="方正小标宋_GBK" w:eastAsia="方正小标宋_GBK" w:cs="方正小标宋_GBK"/>
          <w:sz w:val="36"/>
          <w:szCs w:val="36"/>
          <w:lang w:eastAsia="zh-CN"/>
        </w:rPr>
      </w:pPr>
    </w:p>
    <w:p>
      <w:pPr>
        <w:rPr>
          <w:rFonts w:hint="eastAsia" w:ascii="方正小标宋_GBK" w:hAnsi="方正小标宋_GBK" w:eastAsia="方正小标宋_GBK" w:cs="方正小标宋_GBK"/>
          <w:sz w:val="36"/>
          <w:szCs w:val="36"/>
          <w:lang w:eastAsia="zh-CN"/>
        </w:rPr>
      </w:pPr>
    </w:p>
    <w:p>
      <w:pPr>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drawing>
          <wp:inline distT="0" distB="0" distL="114300" distR="114300">
            <wp:extent cx="5266690" cy="1076960"/>
            <wp:effectExtent l="0" t="0" r="6350" b="5080"/>
            <wp:docPr id="5" name="图片 5" descr="云南三鑫职业技术学院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云南三鑫职业技术学院红色"/>
                    <pic:cNvPicPr>
                      <a:picLocks noChangeAspect="1"/>
                    </pic:cNvPicPr>
                  </pic:nvPicPr>
                  <pic:blipFill>
                    <a:blip r:embed="rId5"/>
                    <a:stretch>
                      <a:fillRect/>
                    </a:stretch>
                  </pic:blipFill>
                  <pic:spPr>
                    <a:xfrm>
                      <a:off x="0" y="0"/>
                      <a:ext cx="5266690" cy="1076960"/>
                    </a:xfrm>
                    <a:prstGeom prst="rect">
                      <a:avLst/>
                    </a:prstGeom>
                  </pic:spPr>
                </pic:pic>
              </a:graphicData>
            </a:graphic>
          </wp:inline>
        </w:drawing>
      </w:r>
    </w:p>
    <w:p>
      <w:pPr>
        <w:rPr>
          <w:rFonts w:hint="eastAsia" w:ascii="方正小标宋_GBK" w:hAnsi="方正小标宋_GBK" w:eastAsia="方正小标宋_GBK" w:cs="方正小标宋_GBK"/>
          <w:sz w:val="36"/>
          <w:szCs w:val="36"/>
          <w:lang w:eastAsia="zh-CN"/>
        </w:rPr>
      </w:pPr>
    </w:p>
    <w:p>
      <w:pPr>
        <w:rPr>
          <w:rFonts w:hint="eastAsia" w:ascii="方正小标宋_GBK" w:hAnsi="方正小标宋_GBK" w:eastAsia="方正小标宋_GBK" w:cs="方正小标宋_GBK"/>
          <w:sz w:val="36"/>
          <w:szCs w:val="36"/>
          <w:lang w:eastAsia="zh-CN"/>
        </w:rPr>
      </w:pPr>
    </w:p>
    <w:p>
      <w:pPr>
        <w:rPr>
          <w:rFonts w:hint="eastAsia" w:ascii="方正小标宋_GBK" w:hAnsi="方正小标宋_GBK" w:eastAsia="方正小标宋_GBK" w:cs="方正小标宋_GBK"/>
          <w:sz w:val="36"/>
          <w:szCs w:val="36"/>
          <w:lang w:eastAsia="zh-CN"/>
        </w:rPr>
      </w:pPr>
    </w:p>
    <w:p>
      <w:pPr>
        <w:rPr>
          <w:rFonts w:hint="eastAsia" w:ascii="方正小标宋_GBK" w:hAnsi="方正小标宋_GBK" w:eastAsia="方正小标宋_GBK" w:cs="方正小标宋_GBK"/>
          <w:sz w:val="36"/>
          <w:szCs w:val="36"/>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方正小标宋_GBK" w:hAnsi="方正小标宋_GBK" w:eastAsia="方正小标宋_GBK" w:cs="方正小标宋_GBK"/>
          <w:sz w:val="52"/>
          <w:szCs w:val="52"/>
          <w:lang w:val="en-US" w:eastAsia="zh-CN"/>
        </w:rPr>
      </w:pPr>
      <w:bookmarkStart w:id="0" w:name="_Toc30987"/>
      <w:r>
        <w:rPr>
          <w:rFonts w:hint="eastAsia" w:ascii="方正小标宋_GBK" w:hAnsi="方正小标宋_GBK" w:eastAsia="方正小标宋_GBK" w:cs="方正小标宋_GBK"/>
          <w:sz w:val="52"/>
          <w:szCs w:val="52"/>
          <w:lang w:val="en-US" w:eastAsia="zh-CN"/>
        </w:rPr>
        <w:t>高职扩招人才培养方案</w:t>
      </w:r>
      <w:bookmarkEnd w:id="0"/>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方正小标宋_GBK" w:hAnsi="方正小标宋_GBK" w:eastAsia="方正小标宋_GBK" w:cs="方正小标宋_GBK"/>
          <w:sz w:val="52"/>
          <w:szCs w:val="52"/>
          <w:lang w:val="en-US" w:eastAsia="zh-CN"/>
        </w:rPr>
      </w:pPr>
      <w:r>
        <w:rPr>
          <w:rFonts w:hint="eastAsia" w:ascii="方正小标宋_GBK" w:hAnsi="方正小标宋_GBK" w:eastAsia="方正小标宋_GBK" w:cs="方正小标宋_GBK"/>
          <w:sz w:val="52"/>
          <w:szCs w:val="52"/>
          <w:lang w:val="en-US" w:eastAsia="zh-CN"/>
        </w:rPr>
        <w:t>工程造价专业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（2021级 弹性学制）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方正小标宋_GBK" w:cs="方正小标宋_GBK"/>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方正小标宋_GBK" w:cs="方正小标宋_GBK"/>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方正小标宋_GBK" w:cs="方正小标宋_GBK"/>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方正小标宋_GBK" w:hAnsi="方正小标宋_GBK" w:eastAsia="方正小标宋_GBK" w:cs="方正小标宋_GBK"/>
          <w:sz w:val="52"/>
          <w:szCs w:val="52"/>
          <w:lang w:val="en-US" w:eastAsia="zh-CN"/>
        </w:rPr>
      </w:pPr>
      <w:r>
        <w:rPr>
          <w:rFonts w:hint="eastAsia" w:ascii="方正小标宋_GBK" w:hAnsi="方正小标宋_GBK" w:eastAsia="方正小标宋_GBK" w:cs="方正小标宋_GBK"/>
          <w:sz w:val="52"/>
          <w:szCs w:val="5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方正小标宋_GBK" w:hAnsi="方正小标宋_GBK" w:eastAsia="方正小标宋_GBK" w:cs="方正小标宋_GBK"/>
          <w:sz w:val="32"/>
          <w:szCs w:val="32"/>
          <w:lang w:val="en-US" w:eastAsia="zh-CN"/>
        </w:rPr>
      </w:pPr>
      <w:bookmarkStart w:id="1" w:name="_Toc28655"/>
      <w:bookmarkStart w:id="2" w:name="_Toc12453"/>
      <w:bookmarkStart w:id="3" w:name="_Toc31687"/>
      <w:r>
        <w:rPr>
          <w:rFonts w:hint="eastAsia" w:ascii="方正小标宋_GBK" w:hAnsi="方正小标宋_GBK" w:eastAsia="方正小标宋_GBK" w:cs="方正小标宋_GBK"/>
          <w:sz w:val="32"/>
          <w:szCs w:val="32"/>
          <w:lang w:val="en-US" w:eastAsia="zh-CN"/>
        </w:rPr>
        <w:t>云南三鑫职业技术学院继续教育学院 编</w:t>
      </w:r>
      <w:bookmarkEnd w:id="1"/>
      <w:bookmarkEnd w:id="2"/>
      <w:bookmarkEnd w:id="3"/>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32"/>
          <w:szCs w:val="32"/>
        </w:rPr>
      </w:pPr>
      <w:r>
        <w:rPr>
          <w:rFonts w:hint="eastAsia" w:ascii="方正小标宋_GBK" w:hAnsi="方正小标宋_GBK" w:eastAsia="方正小标宋_GBK" w:cs="方正小标宋_GBK"/>
          <w:sz w:val="32"/>
          <w:szCs w:val="32"/>
          <w:lang w:val="en-US" w:eastAsia="zh-CN"/>
        </w:rPr>
        <w:t>2021年8月</w:t>
      </w:r>
      <w:bookmarkStart w:id="18" w:name="_GoBack"/>
      <w:bookmarkEnd w:id="18"/>
    </w:p>
    <w:p>
      <w:pPr>
        <w:spacing w:line="360" w:lineRule="auto"/>
        <w:jc w:val="cente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目录</w:t>
      </w:r>
    </w:p>
    <w:sdt>
      <w:sdtPr>
        <w:rPr>
          <w:rFonts w:ascii="宋体" w:hAnsi="宋体" w:eastAsia="宋体" w:cs="Times New Roman"/>
          <w:kern w:val="2"/>
          <w:sz w:val="21"/>
          <w:szCs w:val="22"/>
          <w:lang w:val="en-US" w:eastAsia="zh-CN" w:bidi="ar-SA"/>
        </w:rPr>
        <w:id w:val="147453963"/>
        <w15:color w:val="DBDBDB"/>
        <w:docPartObj>
          <w:docPartGallery w:val="Table of Contents"/>
          <w:docPartUnique/>
        </w:docPartObj>
      </w:sdtPr>
      <w:sdtEndPr>
        <w:rPr>
          <w:rFonts w:hint="eastAsia" w:ascii="仿宋" w:hAnsi="仿宋" w:eastAsia="仿宋" w:cs="仿宋"/>
          <w:kern w:val="2"/>
          <w:sz w:val="21"/>
          <w:szCs w:val="32"/>
          <w:lang w:val="en-US" w:eastAsia="zh-CN" w:bidi="ar-SA"/>
        </w:rPr>
      </w:sdtEndPr>
      <w:sdtContent>
        <w:p>
          <w:pPr>
            <w:spacing w:before="0" w:beforeLines="0" w:after="0" w:afterLines="0" w:line="240" w:lineRule="auto"/>
            <w:ind w:left="0" w:leftChars="0" w:right="0" w:rightChars="0" w:firstLine="0" w:firstLineChars="0"/>
            <w:jc w:val="center"/>
          </w:pPr>
        </w:p>
        <w:p>
          <w:pPr>
            <w:pStyle w:val="20"/>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仿宋" w:hAnsi="仿宋" w:eastAsia="仿宋" w:cs="仿宋"/>
              <w:b/>
              <w:sz w:val="24"/>
              <w:szCs w:val="24"/>
              <w:lang w:val="en-US" w:eastAsia="zh-CN"/>
            </w:rPr>
            <w:fldChar w:fldCharType="begin"/>
          </w:r>
          <w:r>
            <w:rPr>
              <w:rFonts w:hint="eastAsia" w:ascii="仿宋" w:hAnsi="仿宋" w:eastAsia="仿宋" w:cs="仿宋"/>
              <w:b/>
              <w:sz w:val="24"/>
              <w:szCs w:val="24"/>
              <w:lang w:val="en-US" w:eastAsia="zh-CN"/>
            </w:rPr>
            <w:instrText xml:space="preserve">TOC \o "1-1" \h \u </w:instrText>
          </w:r>
          <w:r>
            <w:rPr>
              <w:rFonts w:hint="eastAsia" w:ascii="仿宋" w:hAnsi="仿宋" w:eastAsia="仿宋" w:cs="仿宋"/>
              <w:b/>
              <w:sz w:val="24"/>
              <w:szCs w:val="24"/>
              <w:lang w:val="en-US" w:eastAsia="zh-CN"/>
            </w:rPr>
            <w:fldChar w:fldCharType="separate"/>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\l _Toc27848 </w:instrText>
          </w:r>
          <w:r>
            <w:rPr>
              <w:rFonts w:hint="eastAsia" w:ascii="仿宋" w:hAnsi="仿宋" w:eastAsia="仿宋" w:cs="仿宋"/>
              <w:sz w:val="24"/>
              <w:szCs w:val="24"/>
              <w:lang w:val="en-US" w:eastAsia="zh-CN"/>
            </w:rPr>
            <w:fldChar w:fldCharType="separate"/>
          </w:r>
          <w:r>
            <w:rPr>
              <w:rFonts w:hint="eastAsia" w:ascii="仿宋" w:hAnsi="仿宋" w:eastAsia="仿宋" w:cs="仿宋"/>
              <w:sz w:val="24"/>
              <w:szCs w:val="24"/>
            </w:rPr>
            <w:t>工程造价专业人才培养方案</w:t>
          </w:r>
          <w:r>
            <w:rPr>
              <w:sz w:val="24"/>
              <w:szCs w:val="24"/>
            </w:rPr>
            <w:tab/>
          </w:r>
          <w:r>
            <w:rPr>
              <w:sz w:val="24"/>
              <w:szCs w:val="24"/>
            </w:rPr>
            <w:fldChar w:fldCharType="begin"/>
          </w:r>
          <w:r>
            <w:rPr>
              <w:sz w:val="24"/>
              <w:szCs w:val="24"/>
            </w:rPr>
            <w:instrText xml:space="preserve"> PAGEREF _Toc27848 \h </w:instrText>
          </w:r>
          <w:r>
            <w:rPr>
              <w:sz w:val="24"/>
              <w:szCs w:val="24"/>
            </w:rPr>
            <w:fldChar w:fldCharType="separate"/>
          </w:r>
          <w:r>
            <w:rPr>
              <w:sz w:val="24"/>
              <w:szCs w:val="24"/>
            </w:rPr>
            <w:t>1</w:t>
          </w:r>
          <w:r>
            <w:rPr>
              <w:sz w:val="24"/>
              <w:szCs w:val="24"/>
            </w:rPr>
            <w:fldChar w:fldCharType="end"/>
          </w:r>
          <w:r>
            <w:rPr>
              <w:rFonts w:hint="eastAsia" w:ascii="仿宋" w:hAnsi="仿宋" w:eastAsia="仿宋" w:cs="仿宋"/>
              <w:sz w:val="24"/>
              <w:szCs w:val="24"/>
              <w:lang w:val="en-US" w:eastAsia="zh-CN"/>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\l _Toc4259 </w:instrText>
          </w:r>
          <w:r>
            <w:rPr>
              <w:rFonts w:hint="eastAsia" w:ascii="仿宋" w:hAnsi="仿宋" w:eastAsia="仿宋" w:cs="仿宋"/>
              <w:sz w:val="24"/>
              <w:szCs w:val="24"/>
              <w:lang w:val="en-US" w:eastAsia="zh-CN"/>
            </w:rPr>
            <w:fldChar w:fldCharType="separate"/>
          </w:r>
          <w:r>
            <w:rPr>
              <w:rFonts w:hint="eastAsia" w:ascii="宋体" w:hAnsi="宋体"/>
              <w:sz w:val="24"/>
              <w:szCs w:val="24"/>
            </w:rPr>
            <w:t>一、专业名称及专业代码</w:t>
          </w:r>
          <w:r>
            <w:rPr>
              <w:sz w:val="24"/>
              <w:szCs w:val="24"/>
            </w:rPr>
            <w:tab/>
          </w:r>
          <w:r>
            <w:rPr>
              <w:sz w:val="24"/>
              <w:szCs w:val="24"/>
            </w:rPr>
            <w:fldChar w:fldCharType="begin"/>
          </w:r>
          <w:r>
            <w:rPr>
              <w:sz w:val="24"/>
              <w:szCs w:val="24"/>
            </w:rPr>
            <w:instrText xml:space="preserve"> PAGEREF _Toc4259 \h </w:instrText>
          </w:r>
          <w:r>
            <w:rPr>
              <w:sz w:val="24"/>
              <w:szCs w:val="24"/>
            </w:rPr>
            <w:fldChar w:fldCharType="separate"/>
          </w:r>
          <w:r>
            <w:rPr>
              <w:sz w:val="24"/>
              <w:szCs w:val="24"/>
            </w:rPr>
            <w:t>1</w:t>
          </w:r>
          <w:r>
            <w:rPr>
              <w:sz w:val="24"/>
              <w:szCs w:val="24"/>
            </w:rPr>
            <w:fldChar w:fldCharType="end"/>
          </w:r>
          <w:r>
            <w:rPr>
              <w:rFonts w:hint="eastAsia" w:ascii="仿宋" w:hAnsi="仿宋" w:eastAsia="仿宋" w:cs="仿宋"/>
              <w:sz w:val="24"/>
              <w:szCs w:val="24"/>
              <w:lang w:val="en-US" w:eastAsia="zh-CN"/>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\l _Toc2409 </w:instrText>
          </w:r>
          <w:r>
            <w:rPr>
              <w:rFonts w:hint="eastAsia" w:ascii="仿宋" w:hAnsi="仿宋" w:eastAsia="仿宋" w:cs="仿宋"/>
              <w:sz w:val="24"/>
              <w:szCs w:val="24"/>
              <w:lang w:val="en-US" w:eastAsia="zh-CN"/>
            </w:rPr>
            <w:fldChar w:fldCharType="separate"/>
          </w:r>
          <w:r>
            <w:rPr>
              <w:rFonts w:hint="eastAsia" w:ascii="宋体" w:hAnsi="宋体"/>
              <w:sz w:val="24"/>
              <w:szCs w:val="24"/>
            </w:rPr>
            <w:t>二、招生对象及学制</w:t>
          </w:r>
          <w:r>
            <w:rPr>
              <w:sz w:val="24"/>
              <w:szCs w:val="24"/>
            </w:rPr>
            <w:tab/>
          </w:r>
          <w:r>
            <w:rPr>
              <w:sz w:val="24"/>
              <w:szCs w:val="24"/>
            </w:rPr>
            <w:fldChar w:fldCharType="begin"/>
          </w:r>
          <w:r>
            <w:rPr>
              <w:sz w:val="24"/>
              <w:szCs w:val="24"/>
            </w:rPr>
            <w:instrText xml:space="preserve"> PAGEREF _Toc2409 \h </w:instrText>
          </w:r>
          <w:r>
            <w:rPr>
              <w:sz w:val="24"/>
              <w:szCs w:val="24"/>
            </w:rPr>
            <w:fldChar w:fldCharType="separate"/>
          </w:r>
          <w:r>
            <w:rPr>
              <w:sz w:val="24"/>
              <w:szCs w:val="24"/>
            </w:rPr>
            <w:t>1</w:t>
          </w:r>
          <w:r>
            <w:rPr>
              <w:sz w:val="24"/>
              <w:szCs w:val="24"/>
            </w:rPr>
            <w:fldChar w:fldCharType="end"/>
          </w:r>
          <w:r>
            <w:rPr>
              <w:rFonts w:hint="eastAsia" w:ascii="仿宋" w:hAnsi="仿宋" w:eastAsia="仿宋" w:cs="仿宋"/>
              <w:sz w:val="24"/>
              <w:szCs w:val="24"/>
              <w:lang w:val="en-US" w:eastAsia="zh-CN"/>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\l _Toc22337 </w:instrText>
          </w:r>
          <w:r>
            <w:rPr>
              <w:rFonts w:hint="eastAsia" w:ascii="仿宋" w:hAnsi="仿宋" w:eastAsia="仿宋" w:cs="仿宋"/>
              <w:sz w:val="24"/>
              <w:szCs w:val="24"/>
              <w:lang w:val="en-US" w:eastAsia="zh-CN"/>
            </w:rPr>
            <w:fldChar w:fldCharType="separate"/>
          </w:r>
          <w:r>
            <w:rPr>
              <w:rFonts w:hint="eastAsia"/>
              <w:sz w:val="24"/>
              <w:szCs w:val="24"/>
            </w:rPr>
            <w:t>三、人才培养目标</w:t>
          </w:r>
          <w:r>
            <w:rPr>
              <w:sz w:val="24"/>
              <w:szCs w:val="24"/>
            </w:rPr>
            <w:tab/>
          </w:r>
          <w:r>
            <w:rPr>
              <w:sz w:val="24"/>
              <w:szCs w:val="24"/>
            </w:rPr>
            <w:fldChar w:fldCharType="begin"/>
          </w:r>
          <w:r>
            <w:rPr>
              <w:sz w:val="24"/>
              <w:szCs w:val="24"/>
            </w:rPr>
            <w:instrText xml:space="preserve"> PAGEREF _Toc22337 \h </w:instrText>
          </w:r>
          <w:r>
            <w:rPr>
              <w:sz w:val="24"/>
              <w:szCs w:val="24"/>
            </w:rPr>
            <w:fldChar w:fldCharType="separate"/>
          </w:r>
          <w:r>
            <w:rPr>
              <w:sz w:val="24"/>
              <w:szCs w:val="24"/>
            </w:rPr>
            <w:t>1</w:t>
          </w:r>
          <w:r>
            <w:rPr>
              <w:sz w:val="24"/>
              <w:szCs w:val="24"/>
            </w:rPr>
            <w:fldChar w:fldCharType="end"/>
          </w:r>
          <w:r>
            <w:rPr>
              <w:rFonts w:hint="eastAsia" w:ascii="仿宋" w:hAnsi="仿宋" w:eastAsia="仿宋" w:cs="仿宋"/>
              <w:sz w:val="24"/>
              <w:szCs w:val="24"/>
              <w:lang w:val="en-US" w:eastAsia="zh-CN"/>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\l _Toc21934 </w:instrText>
          </w:r>
          <w:r>
            <w:rPr>
              <w:rFonts w:hint="eastAsia" w:ascii="仿宋" w:hAnsi="仿宋" w:eastAsia="仿宋" w:cs="仿宋"/>
              <w:sz w:val="24"/>
              <w:szCs w:val="24"/>
              <w:lang w:val="en-US" w:eastAsia="zh-CN"/>
            </w:rPr>
            <w:fldChar w:fldCharType="separate"/>
          </w:r>
          <w:r>
            <w:rPr>
              <w:rFonts w:hint="eastAsia" w:ascii="宋体" w:hAnsi="宋体"/>
              <w:sz w:val="24"/>
              <w:szCs w:val="24"/>
            </w:rPr>
            <w:t>四、人才培养规格</w:t>
          </w:r>
          <w:r>
            <w:rPr>
              <w:sz w:val="24"/>
              <w:szCs w:val="24"/>
            </w:rPr>
            <w:tab/>
          </w:r>
          <w:r>
            <w:rPr>
              <w:sz w:val="24"/>
              <w:szCs w:val="24"/>
            </w:rPr>
            <w:fldChar w:fldCharType="begin"/>
          </w:r>
          <w:r>
            <w:rPr>
              <w:sz w:val="24"/>
              <w:szCs w:val="24"/>
            </w:rPr>
            <w:instrText xml:space="preserve"> PAGEREF _Toc21934 \h </w:instrText>
          </w:r>
          <w:r>
            <w:rPr>
              <w:sz w:val="24"/>
              <w:szCs w:val="24"/>
            </w:rPr>
            <w:fldChar w:fldCharType="separate"/>
          </w:r>
          <w:r>
            <w:rPr>
              <w:sz w:val="24"/>
              <w:szCs w:val="24"/>
            </w:rPr>
            <w:t>1</w:t>
          </w:r>
          <w:r>
            <w:rPr>
              <w:sz w:val="24"/>
              <w:szCs w:val="24"/>
            </w:rPr>
            <w:fldChar w:fldCharType="end"/>
          </w:r>
          <w:r>
            <w:rPr>
              <w:rFonts w:hint="eastAsia" w:ascii="仿宋" w:hAnsi="仿宋" w:eastAsia="仿宋" w:cs="仿宋"/>
              <w:sz w:val="24"/>
              <w:szCs w:val="24"/>
              <w:lang w:val="en-US" w:eastAsia="zh-CN"/>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\l _Toc12604 </w:instrText>
          </w:r>
          <w:r>
            <w:rPr>
              <w:rFonts w:hint="eastAsia" w:ascii="仿宋" w:hAnsi="仿宋" w:eastAsia="仿宋" w:cs="仿宋"/>
              <w:sz w:val="24"/>
              <w:szCs w:val="24"/>
              <w:lang w:val="en-US" w:eastAsia="zh-CN"/>
            </w:rPr>
            <w:fldChar w:fldCharType="separate"/>
          </w:r>
          <w:r>
            <w:rPr>
              <w:rFonts w:hint="eastAsia" w:ascii="宋体" w:hAnsi="宋体"/>
              <w:sz w:val="24"/>
              <w:szCs w:val="24"/>
            </w:rPr>
            <w:t>五、人才培养模式</w:t>
          </w:r>
          <w:r>
            <w:rPr>
              <w:sz w:val="24"/>
              <w:szCs w:val="24"/>
            </w:rPr>
            <w:tab/>
          </w:r>
          <w:r>
            <w:rPr>
              <w:sz w:val="24"/>
              <w:szCs w:val="24"/>
            </w:rPr>
            <w:fldChar w:fldCharType="begin"/>
          </w:r>
          <w:r>
            <w:rPr>
              <w:sz w:val="24"/>
              <w:szCs w:val="24"/>
            </w:rPr>
            <w:instrText xml:space="preserve"> PAGEREF _Toc12604 \h </w:instrText>
          </w:r>
          <w:r>
            <w:rPr>
              <w:sz w:val="24"/>
              <w:szCs w:val="24"/>
            </w:rPr>
            <w:fldChar w:fldCharType="separate"/>
          </w:r>
          <w:r>
            <w:rPr>
              <w:sz w:val="24"/>
              <w:szCs w:val="24"/>
            </w:rPr>
            <w:t>2</w:t>
          </w:r>
          <w:r>
            <w:rPr>
              <w:sz w:val="24"/>
              <w:szCs w:val="24"/>
            </w:rPr>
            <w:fldChar w:fldCharType="end"/>
          </w:r>
          <w:r>
            <w:rPr>
              <w:rFonts w:hint="eastAsia" w:ascii="仿宋" w:hAnsi="仿宋" w:eastAsia="仿宋" w:cs="仿宋"/>
              <w:sz w:val="24"/>
              <w:szCs w:val="24"/>
              <w:lang w:val="en-US" w:eastAsia="zh-CN"/>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\l _Toc11781 </w:instrText>
          </w:r>
          <w:r>
            <w:rPr>
              <w:rFonts w:hint="eastAsia" w:ascii="仿宋" w:hAnsi="仿宋" w:eastAsia="仿宋" w:cs="仿宋"/>
              <w:sz w:val="24"/>
              <w:szCs w:val="24"/>
              <w:lang w:val="en-US" w:eastAsia="zh-CN"/>
            </w:rPr>
            <w:fldChar w:fldCharType="separate"/>
          </w:r>
          <w:r>
            <w:rPr>
              <w:rFonts w:hint="eastAsia" w:ascii="宋体" w:hAnsi="宋体" w:cs="宋体"/>
              <w:sz w:val="24"/>
              <w:szCs w:val="24"/>
            </w:rPr>
            <w:t>六、职业范围及就业岗位</w:t>
          </w:r>
          <w:r>
            <w:rPr>
              <w:sz w:val="24"/>
              <w:szCs w:val="24"/>
            </w:rPr>
            <w:tab/>
          </w:r>
          <w:r>
            <w:rPr>
              <w:sz w:val="24"/>
              <w:szCs w:val="24"/>
            </w:rPr>
            <w:fldChar w:fldCharType="begin"/>
          </w:r>
          <w:r>
            <w:rPr>
              <w:sz w:val="24"/>
              <w:szCs w:val="24"/>
            </w:rPr>
            <w:instrText xml:space="preserve"> PAGEREF _Toc11781 \h </w:instrText>
          </w:r>
          <w:r>
            <w:rPr>
              <w:sz w:val="24"/>
              <w:szCs w:val="24"/>
            </w:rPr>
            <w:fldChar w:fldCharType="separate"/>
          </w:r>
          <w:r>
            <w:rPr>
              <w:sz w:val="24"/>
              <w:szCs w:val="24"/>
            </w:rPr>
            <w:t>2</w:t>
          </w:r>
          <w:r>
            <w:rPr>
              <w:sz w:val="24"/>
              <w:szCs w:val="24"/>
            </w:rPr>
            <w:fldChar w:fldCharType="end"/>
          </w:r>
          <w:r>
            <w:rPr>
              <w:rFonts w:hint="eastAsia" w:ascii="仿宋" w:hAnsi="仿宋" w:eastAsia="仿宋" w:cs="仿宋"/>
              <w:sz w:val="24"/>
              <w:szCs w:val="24"/>
              <w:lang w:val="en-US"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fldChar w:fldCharType="begin"/>
          </w:r>
          <w:r>
            <w:rPr>
              <w:rFonts w:hint="eastAsia" w:ascii="仿宋" w:hAnsi="仿宋" w:eastAsia="仿宋" w:cs="仿宋"/>
              <w:kern w:val="0"/>
              <w:sz w:val="24"/>
              <w:szCs w:val="24"/>
              <w:lang w:val="en-US" w:eastAsia="zh-CN"/>
            </w:rPr>
            <w:instrText xml:space="preserve"> HYPERLINK \l _Toc9371 </w:instrText>
          </w:r>
          <w:r>
            <w:rPr>
              <w:rFonts w:hint="eastAsia" w:ascii="仿宋" w:hAnsi="仿宋" w:eastAsia="仿宋" w:cs="仿宋"/>
              <w:kern w:val="0"/>
              <w:sz w:val="24"/>
              <w:szCs w:val="24"/>
              <w:lang w:val="en-US" w:eastAsia="zh-CN"/>
            </w:rPr>
            <w:fldChar w:fldCharType="separate"/>
          </w:r>
          <w:r>
            <w:rPr>
              <w:rFonts w:hint="eastAsia" w:ascii="仿宋" w:hAnsi="仿宋" w:eastAsia="仿宋" w:cs="仿宋"/>
              <w:b/>
              <w:bCs/>
              <w:kern w:val="0"/>
              <w:sz w:val="24"/>
              <w:szCs w:val="24"/>
              <w:lang w:val="en-US" w:eastAsia="zh-CN"/>
            </w:rPr>
            <w:t>八</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en-US" w:eastAsia="zh-CN"/>
            </w:rPr>
            <w:t>课程体系</w:t>
          </w:r>
          <w:r>
            <w:rPr>
              <w:sz w:val="24"/>
              <w:szCs w:val="24"/>
            </w:rPr>
            <w:tab/>
          </w:r>
          <w:r>
            <w:rPr>
              <w:rFonts w:hint="eastAsia"/>
              <w:sz w:val="24"/>
              <w:szCs w:val="24"/>
              <w:lang w:val="en-US" w:eastAsia="zh-CN"/>
            </w:rPr>
            <w:t>3</w:t>
          </w:r>
          <w:r>
            <w:rPr>
              <w:rFonts w:hint="eastAsia" w:ascii="仿宋" w:hAnsi="仿宋" w:eastAsia="仿宋" w:cs="仿宋"/>
              <w:kern w:val="0"/>
              <w:sz w:val="24"/>
              <w:szCs w:val="24"/>
              <w:lang w:val="en-US" w:eastAsia="zh-CN"/>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\l _Toc3454 </w:instrText>
          </w:r>
          <w:r>
            <w:rPr>
              <w:rFonts w:hint="eastAsia" w:ascii="仿宋" w:hAnsi="仿宋" w:eastAsia="仿宋" w:cs="仿宋"/>
              <w:sz w:val="24"/>
              <w:szCs w:val="24"/>
              <w:lang w:val="en-US" w:eastAsia="zh-CN"/>
            </w:rPr>
            <w:fldChar w:fldCharType="separate"/>
          </w:r>
          <w:r>
            <w:rPr>
              <w:rFonts w:hint="eastAsia" w:ascii="宋体" w:hAnsi="宋体" w:cs="宋体"/>
              <w:sz w:val="24"/>
              <w:szCs w:val="24"/>
            </w:rPr>
            <w:t>九、主干课程描述</w:t>
          </w:r>
          <w:r>
            <w:rPr>
              <w:sz w:val="24"/>
              <w:szCs w:val="24"/>
            </w:rPr>
            <w:tab/>
          </w:r>
          <w:r>
            <w:rPr>
              <w:sz w:val="24"/>
              <w:szCs w:val="24"/>
            </w:rPr>
            <w:fldChar w:fldCharType="begin"/>
          </w:r>
          <w:r>
            <w:rPr>
              <w:sz w:val="24"/>
              <w:szCs w:val="24"/>
            </w:rPr>
            <w:instrText xml:space="preserve"> PAGEREF _Toc3454 \h </w:instrText>
          </w:r>
          <w:r>
            <w:rPr>
              <w:sz w:val="24"/>
              <w:szCs w:val="24"/>
            </w:rPr>
            <w:fldChar w:fldCharType="separate"/>
          </w:r>
          <w:r>
            <w:rPr>
              <w:sz w:val="24"/>
              <w:szCs w:val="24"/>
            </w:rPr>
            <w:t>4</w:t>
          </w:r>
          <w:r>
            <w:rPr>
              <w:sz w:val="24"/>
              <w:szCs w:val="24"/>
            </w:rPr>
            <w:fldChar w:fldCharType="end"/>
          </w:r>
          <w:r>
            <w:rPr>
              <w:rFonts w:hint="eastAsia" w:ascii="仿宋" w:hAnsi="仿宋" w:eastAsia="仿宋" w:cs="仿宋"/>
              <w:sz w:val="24"/>
              <w:szCs w:val="24"/>
              <w:lang w:val="en-US" w:eastAsia="zh-CN"/>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\l _Toc8450 </w:instrText>
          </w:r>
          <w:r>
            <w:rPr>
              <w:rFonts w:hint="eastAsia" w:ascii="仿宋" w:hAnsi="仿宋" w:eastAsia="仿宋" w:cs="仿宋"/>
              <w:sz w:val="24"/>
              <w:szCs w:val="24"/>
              <w:lang w:val="en-US" w:eastAsia="zh-CN"/>
            </w:rPr>
            <w:fldChar w:fldCharType="separate"/>
          </w:r>
          <w:r>
            <w:rPr>
              <w:rFonts w:hint="eastAsia" w:ascii="宋体" w:hAnsi="宋体" w:cs="宋体"/>
              <w:bCs/>
              <w:sz w:val="24"/>
              <w:szCs w:val="24"/>
            </w:rPr>
            <w:t>十、实践教学条件</w:t>
          </w:r>
          <w:r>
            <w:rPr>
              <w:sz w:val="24"/>
              <w:szCs w:val="24"/>
            </w:rPr>
            <w:tab/>
          </w:r>
          <w:r>
            <w:rPr>
              <w:sz w:val="24"/>
              <w:szCs w:val="24"/>
            </w:rPr>
            <w:fldChar w:fldCharType="begin"/>
          </w:r>
          <w:r>
            <w:rPr>
              <w:sz w:val="24"/>
              <w:szCs w:val="24"/>
            </w:rPr>
            <w:instrText xml:space="preserve"> PAGEREF _Toc8450 \h </w:instrText>
          </w:r>
          <w:r>
            <w:rPr>
              <w:sz w:val="24"/>
              <w:szCs w:val="24"/>
            </w:rPr>
            <w:fldChar w:fldCharType="separate"/>
          </w:r>
          <w:r>
            <w:rPr>
              <w:sz w:val="24"/>
              <w:szCs w:val="24"/>
            </w:rPr>
            <w:t>5</w:t>
          </w:r>
          <w:r>
            <w:rPr>
              <w:sz w:val="24"/>
              <w:szCs w:val="24"/>
            </w:rPr>
            <w:fldChar w:fldCharType="end"/>
          </w:r>
          <w:r>
            <w:rPr>
              <w:rFonts w:hint="eastAsia" w:ascii="仿宋" w:hAnsi="仿宋" w:eastAsia="仿宋" w:cs="仿宋"/>
              <w:sz w:val="24"/>
              <w:szCs w:val="24"/>
              <w:lang w:val="en-US" w:eastAsia="zh-CN"/>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\l _Toc30300 </w:instrText>
          </w:r>
          <w:r>
            <w:rPr>
              <w:rFonts w:hint="eastAsia" w:ascii="仿宋" w:hAnsi="仿宋" w:eastAsia="仿宋" w:cs="仿宋"/>
              <w:sz w:val="24"/>
              <w:szCs w:val="24"/>
              <w:lang w:val="en-US" w:eastAsia="zh-CN"/>
            </w:rPr>
            <w:fldChar w:fldCharType="separate"/>
          </w:r>
          <w:r>
            <w:rPr>
              <w:rFonts w:hint="eastAsia"/>
              <w:sz w:val="24"/>
              <w:szCs w:val="24"/>
            </w:rPr>
            <w:t>十一、考核方式及要求</w:t>
          </w:r>
          <w:r>
            <w:rPr>
              <w:sz w:val="24"/>
              <w:szCs w:val="24"/>
            </w:rPr>
            <w:tab/>
          </w:r>
          <w:r>
            <w:rPr>
              <w:sz w:val="24"/>
              <w:szCs w:val="24"/>
            </w:rPr>
            <w:fldChar w:fldCharType="begin"/>
          </w:r>
          <w:r>
            <w:rPr>
              <w:sz w:val="24"/>
              <w:szCs w:val="24"/>
            </w:rPr>
            <w:instrText xml:space="preserve"> PAGEREF _Toc30300 \h </w:instrText>
          </w:r>
          <w:r>
            <w:rPr>
              <w:sz w:val="24"/>
              <w:szCs w:val="24"/>
            </w:rPr>
            <w:fldChar w:fldCharType="separate"/>
          </w:r>
          <w:r>
            <w:rPr>
              <w:sz w:val="24"/>
              <w:szCs w:val="24"/>
            </w:rPr>
            <w:t>5</w:t>
          </w:r>
          <w:r>
            <w:rPr>
              <w:sz w:val="24"/>
              <w:szCs w:val="24"/>
            </w:rPr>
            <w:fldChar w:fldCharType="end"/>
          </w:r>
          <w:r>
            <w:rPr>
              <w:rFonts w:hint="eastAsia" w:ascii="仿宋" w:hAnsi="仿宋" w:eastAsia="仿宋" w:cs="仿宋"/>
              <w:sz w:val="24"/>
              <w:szCs w:val="24"/>
              <w:lang w:val="en-US" w:eastAsia="zh-CN"/>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\l _Toc5514 </w:instrText>
          </w:r>
          <w:r>
            <w:rPr>
              <w:rFonts w:hint="eastAsia" w:ascii="仿宋" w:hAnsi="仿宋" w:eastAsia="仿宋" w:cs="仿宋"/>
              <w:sz w:val="24"/>
              <w:szCs w:val="24"/>
              <w:lang w:val="en-US" w:eastAsia="zh-CN"/>
            </w:rPr>
            <w:fldChar w:fldCharType="separate"/>
          </w:r>
          <w:r>
            <w:rPr>
              <w:rFonts w:hint="eastAsia" w:ascii="宋体" w:hAnsi="宋体"/>
              <w:sz w:val="24"/>
              <w:szCs w:val="24"/>
            </w:rPr>
            <w:t>十二、毕业标准（要求）</w:t>
          </w:r>
          <w:r>
            <w:rPr>
              <w:sz w:val="24"/>
              <w:szCs w:val="24"/>
            </w:rPr>
            <w:tab/>
          </w:r>
          <w:r>
            <w:rPr>
              <w:sz w:val="24"/>
              <w:szCs w:val="24"/>
            </w:rPr>
            <w:fldChar w:fldCharType="begin"/>
          </w:r>
          <w:r>
            <w:rPr>
              <w:sz w:val="24"/>
              <w:szCs w:val="24"/>
            </w:rPr>
            <w:instrText xml:space="preserve"> PAGEREF _Toc5514 \h </w:instrText>
          </w:r>
          <w:r>
            <w:rPr>
              <w:sz w:val="24"/>
              <w:szCs w:val="24"/>
            </w:rPr>
            <w:fldChar w:fldCharType="separate"/>
          </w:r>
          <w:r>
            <w:rPr>
              <w:sz w:val="24"/>
              <w:szCs w:val="24"/>
            </w:rPr>
            <w:t>6</w:t>
          </w:r>
          <w:r>
            <w:rPr>
              <w:sz w:val="24"/>
              <w:szCs w:val="24"/>
            </w:rPr>
            <w:fldChar w:fldCharType="end"/>
          </w:r>
          <w:r>
            <w:rPr>
              <w:rFonts w:hint="eastAsia" w:ascii="仿宋" w:hAnsi="仿宋" w:eastAsia="仿宋" w:cs="仿宋"/>
              <w:sz w:val="24"/>
              <w:szCs w:val="24"/>
              <w:lang w:val="en-US" w:eastAsia="zh-CN"/>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\l _Toc11646 </w:instrText>
          </w:r>
          <w:r>
            <w:rPr>
              <w:rFonts w:hint="eastAsia" w:ascii="仿宋" w:hAnsi="仿宋" w:eastAsia="仿宋" w:cs="仿宋"/>
              <w:sz w:val="24"/>
              <w:szCs w:val="24"/>
              <w:lang w:val="en-US" w:eastAsia="zh-CN"/>
            </w:rPr>
            <w:fldChar w:fldCharType="separate"/>
          </w:r>
          <w:r>
            <w:rPr>
              <w:rFonts w:hint="eastAsia" w:ascii="宋体" w:hAnsi="宋体" w:cs="宋体"/>
              <w:sz w:val="24"/>
              <w:szCs w:val="24"/>
            </w:rPr>
            <w:t>十三、教学条件保障</w:t>
          </w:r>
          <w:r>
            <w:rPr>
              <w:sz w:val="24"/>
              <w:szCs w:val="24"/>
            </w:rPr>
            <w:tab/>
          </w:r>
          <w:r>
            <w:rPr>
              <w:sz w:val="24"/>
              <w:szCs w:val="24"/>
            </w:rPr>
            <w:fldChar w:fldCharType="begin"/>
          </w:r>
          <w:r>
            <w:rPr>
              <w:sz w:val="24"/>
              <w:szCs w:val="24"/>
            </w:rPr>
            <w:instrText xml:space="preserve"> PAGEREF _Toc11646 \h </w:instrText>
          </w:r>
          <w:r>
            <w:rPr>
              <w:sz w:val="24"/>
              <w:szCs w:val="24"/>
            </w:rPr>
            <w:fldChar w:fldCharType="separate"/>
          </w:r>
          <w:r>
            <w:rPr>
              <w:sz w:val="24"/>
              <w:szCs w:val="24"/>
            </w:rPr>
            <w:t>6</w:t>
          </w:r>
          <w:r>
            <w:rPr>
              <w:sz w:val="24"/>
              <w:szCs w:val="24"/>
            </w:rPr>
            <w:fldChar w:fldCharType="end"/>
          </w:r>
          <w:r>
            <w:rPr>
              <w:rFonts w:hint="eastAsia" w:ascii="仿宋" w:hAnsi="仿宋" w:eastAsia="仿宋" w:cs="仿宋"/>
              <w:sz w:val="24"/>
              <w:szCs w:val="24"/>
              <w:lang w:val="en-US" w:eastAsia="zh-CN"/>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\l _Toc19349 </w:instrText>
          </w:r>
          <w:r>
            <w:rPr>
              <w:rFonts w:hint="eastAsia" w:ascii="仿宋" w:hAnsi="仿宋" w:eastAsia="仿宋" w:cs="仿宋"/>
              <w:sz w:val="24"/>
              <w:szCs w:val="24"/>
              <w:lang w:val="en-US" w:eastAsia="zh-CN"/>
            </w:rPr>
            <w:fldChar w:fldCharType="separate"/>
          </w:r>
          <w:r>
            <w:rPr>
              <w:rFonts w:hint="eastAsia" w:ascii="宋体" w:hAnsi="宋体"/>
              <w:sz w:val="24"/>
              <w:szCs w:val="24"/>
            </w:rPr>
            <w:t>十四、 教学进程安排</w:t>
          </w:r>
          <w:r>
            <w:rPr>
              <w:sz w:val="24"/>
              <w:szCs w:val="24"/>
            </w:rPr>
            <w:tab/>
          </w:r>
          <w:r>
            <w:rPr>
              <w:sz w:val="24"/>
              <w:szCs w:val="24"/>
            </w:rPr>
            <w:fldChar w:fldCharType="begin"/>
          </w:r>
          <w:r>
            <w:rPr>
              <w:sz w:val="24"/>
              <w:szCs w:val="24"/>
            </w:rPr>
            <w:instrText xml:space="preserve"> PAGEREF _Toc19349 \h </w:instrText>
          </w:r>
          <w:r>
            <w:rPr>
              <w:sz w:val="24"/>
              <w:szCs w:val="24"/>
            </w:rPr>
            <w:fldChar w:fldCharType="separate"/>
          </w:r>
          <w:r>
            <w:rPr>
              <w:sz w:val="24"/>
              <w:szCs w:val="24"/>
            </w:rPr>
            <w:t>7</w:t>
          </w:r>
          <w:r>
            <w:rPr>
              <w:sz w:val="24"/>
              <w:szCs w:val="24"/>
            </w:rPr>
            <w:fldChar w:fldCharType="end"/>
          </w:r>
          <w:r>
            <w:rPr>
              <w:rFonts w:hint="eastAsia" w:ascii="仿宋" w:hAnsi="仿宋" w:eastAsia="仿宋" w:cs="仿宋"/>
              <w:sz w:val="24"/>
              <w:szCs w:val="24"/>
              <w:lang w:val="en-US" w:eastAsia="zh-CN"/>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\l _Toc11302 </w:instrText>
          </w:r>
          <w:r>
            <w:rPr>
              <w:rFonts w:hint="eastAsia" w:ascii="仿宋" w:hAnsi="仿宋" w:eastAsia="仿宋" w:cs="仿宋"/>
              <w:sz w:val="24"/>
              <w:szCs w:val="24"/>
              <w:lang w:val="en-US" w:eastAsia="zh-CN"/>
            </w:rPr>
            <w:fldChar w:fldCharType="separate"/>
          </w:r>
          <w:r>
            <w:rPr>
              <w:rFonts w:hint="eastAsia"/>
              <w:sz w:val="24"/>
              <w:szCs w:val="24"/>
            </w:rPr>
            <w:t>十五、其他说明</w:t>
          </w:r>
          <w:r>
            <w:rPr>
              <w:sz w:val="24"/>
              <w:szCs w:val="24"/>
            </w:rPr>
            <w:tab/>
          </w:r>
          <w:r>
            <w:rPr>
              <w:sz w:val="24"/>
              <w:szCs w:val="24"/>
            </w:rPr>
            <w:fldChar w:fldCharType="begin"/>
          </w:r>
          <w:r>
            <w:rPr>
              <w:sz w:val="24"/>
              <w:szCs w:val="24"/>
            </w:rPr>
            <w:instrText xml:space="preserve"> PAGEREF _Toc11302 \h </w:instrText>
          </w:r>
          <w:r>
            <w:rPr>
              <w:sz w:val="24"/>
              <w:szCs w:val="24"/>
            </w:rPr>
            <w:fldChar w:fldCharType="separate"/>
          </w:r>
          <w:r>
            <w:rPr>
              <w:sz w:val="24"/>
              <w:szCs w:val="24"/>
            </w:rPr>
            <w:t>8</w:t>
          </w:r>
          <w:r>
            <w:rPr>
              <w:sz w:val="24"/>
              <w:szCs w:val="24"/>
            </w:rPr>
            <w:fldChar w:fldCharType="end"/>
          </w:r>
          <w:r>
            <w:rPr>
              <w:rFonts w:hint="eastAsia" w:ascii="仿宋" w:hAnsi="仿宋" w:eastAsia="仿宋" w:cs="仿宋"/>
              <w:sz w:val="24"/>
              <w:szCs w:val="24"/>
              <w:lang w:val="en-US" w:eastAsia="zh-CN"/>
            </w:rPr>
            <w:fldChar w:fldCharType="end"/>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fldChar w:fldCharType="end"/>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32"/>
              <w:szCs w:val="32"/>
              <w:lang w:val="en-US" w:eastAsia="zh-CN"/>
            </w:rPr>
          </w:pPr>
        </w:p>
      </w:sdtContent>
    </w:sdt>
    <w:p>
      <w:pPr>
        <w:spacing w:line="360" w:lineRule="auto"/>
        <w:jc w:val="center"/>
        <w:outlineLvl w:val="0"/>
        <w:rPr>
          <w:rFonts w:hint="eastAsia" w:ascii="仿宋" w:hAnsi="仿宋" w:eastAsia="仿宋" w:cs="仿宋"/>
          <w:b/>
          <w:sz w:val="32"/>
          <w:szCs w:val="32"/>
        </w:rPr>
        <w:sectPr>
          <w:pgSz w:w="11906" w:h="16838"/>
          <w:pgMar w:top="1440" w:right="1800" w:bottom="1440" w:left="1800" w:header="851" w:footer="992" w:gutter="0"/>
          <w:cols w:space="425" w:num="1"/>
          <w:docGrid w:type="lines" w:linePitch="312" w:charSpace="0"/>
        </w:sectPr>
      </w:pPr>
      <w:bookmarkStart w:id="4" w:name="_Toc27848"/>
    </w:p>
    <w:p>
      <w:pPr>
        <w:spacing w:line="360" w:lineRule="auto"/>
        <w:jc w:val="center"/>
        <w:outlineLvl w:val="0"/>
        <w:rPr>
          <w:rFonts w:ascii="仿宋_GB2312" w:hAnsi="宋体" w:eastAsia="仿宋_GB2312"/>
          <w:b/>
          <w:sz w:val="32"/>
          <w:szCs w:val="32"/>
        </w:rPr>
      </w:pPr>
      <w:r>
        <w:rPr>
          <w:rFonts w:hint="eastAsia" w:ascii="仿宋" w:hAnsi="仿宋" w:eastAsia="仿宋" w:cs="仿宋"/>
          <w:b/>
          <w:sz w:val="32"/>
          <w:szCs w:val="32"/>
        </w:rPr>
        <w:t>工程造价专业人才培养方案</w:t>
      </w:r>
      <w:bookmarkEnd w:id="4"/>
    </w:p>
    <w:p>
      <w:pPr>
        <w:spacing w:line="360" w:lineRule="auto"/>
        <w:ind w:firstLine="413" w:firstLineChars="196"/>
        <w:outlineLvl w:val="0"/>
        <w:rPr>
          <w:rFonts w:ascii="宋体" w:hAnsi="宋体"/>
          <w:b/>
          <w:szCs w:val="21"/>
        </w:rPr>
      </w:pPr>
      <w:bookmarkStart w:id="5" w:name="_Toc4259"/>
      <w:r>
        <w:rPr>
          <w:rFonts w:hint="eastAsia" w:ascii="宋体" w:hAnsi="宋体"/>
          <w:b/>
          <w:szCs w:val="21"/>
        </w:rPr>
        <w:t>一、专业名称及专业代码</w:t>
      </w:r>
      <w:bookmarkEnd w:id="5"/>
    </w:p>
    <w:p>
      <w:pPr>
        <w:spacing w:line="360" w:lineRule="auto"/>
        <w:ind w:firstLine="420" w:firstLineChars="200"/>
        <w:rPr>
          <w:rFonts w:ascii="宋体" w:hAnsi="宋体"/>
          <w:szCs w:val="21"/>
        </w:rPr>
      </w:pPr>
      <w:r>
        <w:rPr>
          <w:rFonts w:hint="eastAsia" w:ascii="宋体" w:hAnsi="宋体"/>
          <w:szCs w:val="21"/>
        </w:rPr>
        <w:t>专业名称：工程造价</w:t>
      </w:r>
    </w:p>
    <w:p>
      <w:pPr>
        <w:spacing w:line="360" w:lineRule="auto"/>
        <w:ind w:firstLine="420" w:firstLineChars="200"/>
        <w:rPr>
          <w:rFonts w:ascii="宋体" w:hAnsi="宋体"/>
          <w:b/>
          <w:szCs w:val="21"/>
        </w:rPr>
      </w:pPr>
      <w:r>
        <w:rPr>
          <w:rFonts w:hint="eastAsia" w:ascii="宋体" w:hAnsi="宋体"/>
          <w:szCs w:val="21"/>
        </w:rPr>
        <w:t>专业代码：540502</w:t>
      </w:r>
    </w:p>
    <w:p>
      <w:pPr>
        <w:spacing w:line="360" w:lineRule="auto"/>
        <w:ind w:firstLine="413" w:firstLineChars="196"/>
        <w:outlineLvl w:val="0"/>
        <w:rPr>
          <w:rFonts w:ascii="宋体" w:hAnsi="宋体"/>
          <w:b/>
          <w:szCs w:val="21"/>
        </w:rPr>
      </w:pPr>
      <w:bookmarkStart w:id="6" w:name="_Toc2409"/>
      <w:r>
        <w:rPr>
          <w:rFonts w:hint="eastAsia" w:ascii="宋体" w:hAnsi="宋体"/>
          <w:b/>
          <w:szCs w:val="21"/>
        </w:rPr>
        <w:t>二、招生对象及学制</w:t>
      </w:r>
      <w:bookmarkEnd w:id="6"/>
    </w:p>
    <w:p>
      <w:pPr>
        <w:spacing w:line="360" w:lineRule="auto"/>
        <w:ind w:firstLine="420" w:firstLineChars="200"/>
        <w:rPr>
          <w:rFonts w:ascii="宋体" w:hAnsi="宋体"/>
          <w:szCs w:val="21"/>
        </w:rPr>
      </w:pPr>
      <w:r>
        <w:rPr>
          <w:rFonts w:hint="eastAsia" w:ascii="宋体" w:hAnsi="宋体"/>
          <w:szCs w:val="21"/>
        </w:rPr>
        <w:t>招生对象：应（往）届普通高中毕业生、应（往）届中职(含中专、技工学校、职业高中)毕业生、退役军人、下岗失业人员、农民工或新型职业农民群体</w:t>
      </w:r>
    </w:p>
    <w:p>
      <w:pPr>
        <w:spacing w:line="360" w:lineRule="auto"/>
        <w:ind w:firstLine="420" w:firstLineChars="200"/>
        <w:rPr>
          <w:rFonts w:ascii="宋体" w:hAnsi="宋体"/>
          <w:szCs w:val="21"/>
        </w:rPr>
      </w:pPr>
      <w:r>
        <w:rPr>
          <w:rFonts w:hint="eastAsia" w:ascii="宋体" w:hAnsi="宋体"/>
          <w:szCs w:val="21"/>
        </w:rPr>
        <w:t>学    制：弹性学制4年</w:t>
      </w:r>
    </w:p>
    <w:p>
      <w:pPr>
        <w:spacing w:line="360" w:lineRule="auto"/>
        <w:ind w:firstLine="420" w:firstLineChars="200"/>
        <w:rPr>
          <w:b/>
          <w:szCs w:val="21"/>
        </w:rPr>
      </w:pPr>
      <w:r>
        <w:rPr>
          <w:rFonts w:hint="eastAsia" w:ascii="宋体" w:hAnsi="宋体"/>
          <w:szCs w:val="21"/>
        </w:rPr>
        <w:t>学历层次：专科</w:t>
      </w:r>
    </w:p>
    <w:p>
      <w:pPr>
        <w:spacing w:line="360" w:lineRule="auto"/>
        <w:ind w:firstLine="413" w:firstLineChars="196"/>
        <w:outlineLvl w:val="0"/>
        <w:rPr>
          <w:b/>
          <w:szCs w:val="21"/>
        </w:rPr>
      </w:pPr>
      <w:bookmarkStart w:id="7" w:name="_Toc22337"/>
      <w:r>
        <w:rPr>
          <w:rFonts w:hint="eastAsia"/>
          <w:b/>
          <w:szCs w:val="21"/>
        </w:rPr>
        <w:t>三、人才培养目标</w:t>
      </w:r>
      <w:bookmarkEnd w:id="7"/>
    </w:p>
    <w:p>
      <w:pPr>
        <w:widowControl/>
        <w:adjustRightInd w:val="0"/>
        <w:snapToGrid w:val="0"/>
        <w:spacing w:line="360" w:lineRule="auto"/>
        <w:ind w:firstLine="420" w:firstLineChars="200"/>
        <w:jc w:val="left"/>
        <w:rPr>
          <w:szCs w:val="21"/>
        </w:rPr>
      </w:pPr>
      <w:r>
        <w:rPr>
          <w:rFonts w:hint="eastAsia"/>
          <w:szCs w:val="21"/>
        </w:rPr>
        <w:t>培养坚持党的基本路线，政治立场坚定，</w:t>
      </w:r>
      <w:r>
        <w:rPr>
          <w:rFonts w:hint="eastAsia" w:ascii="宋体" w:hAnsi="宋体"/>
          <w:szCs w:val="21"/>
        </w:rPr>
        <w:t>践行社会主义核心价值观，</w:t>
      </w:r>
      <w:r>
        <w:rPr>
          <w:rFonts w:hint="eastAsia"/>
          <w:szCs w:val="21"/>
        </w:rPr>
        <w:t>思想品德优良，德技并修，</w:t>
      </w:r>
      <w:r>
        <w:rPr>
          <w:rFonts w:hint="eastAsia" w:ascii="宋体" w:hAnsi="宋体" w:cs="宋体"/>
          <w:color w:val="000000"/>
          <w:kern w:val="0"/>
          <w:szCs w:val="21"/>
        </w:rPr>
        <w:t>掌握工程预算、造价、施工、管理、工程测量等基本知识、基本理论，具备工程预算、造价、施工、管理、测量、质检、资料等基本技能和核心职业能力，以及良好的实践能力、就业能力和创业能力，</w:t>
      </w:r>
      <w:r>
        <w:rPr>
          <w:rFonts w:hint="eastAsia"/>
          <w:kern w:val="0"/>
          <w:szCs w:val="21"/>
        </w:rPr>
        <w:t>从事</w:t>
      </w:r>
      <w:r>
        <w:rPr>
          <w:rFonts w:hint="eastAsia"/>
          <w:szCs w:val="21"/>
        </w:rPr>
        <w:t>工程</w:t>
      </w:r>
      <w:r>
        <w:rPr>
          <w:rFonts w:hint="eastAsia"/>
          <w:kern w:val="0"/>
          <w:szCs w:val="21"/>
        </w:rPr>
        <w:t>概预算、</w:t>
      </w:r>
      <w:r>
        <w:rPr>
          <w:rFonts w:hint="eastAsia"/>
          <w:szCs w:val="21"/>
        </w:rPr>
        <w:t>招标标底和投标报价的编制和审核能力的</w:t>
      </w:r>
      <w:r>
        <w:rPr>
          <w:rFonts w:hint="eastAsia"/>
          <w:kern w:val="0"/>
          <w:szCs w:val="21"/>
        </w:rPr>
        <w:t>高素质技术技能型人才</w:t>
      </w:r>
      <w:r>
        <w:rPr>
          <w:rFonts w:hint="eastAsia"/>
          <w:szCs w:val="21"/>
        </w:rPr>
        <w:t>，德智体美劳全面发展的社会主义建设者和接班人、担当民族复兴大任的时代新人。</w:t>
      </w:r>
    </w:p>
    <w:p>
      <w:pPr>
        <w:ind w:firstLine="422" w:firstLineChars="200"/>
        <w:outlineLvl w:val="0"/>
        <w:rPr>
          <w:rFonts w:ascii="宋体" w:hAnsi="宋体"/>
          <w:b/>
          <w:szCs w:val="21"/>
        </w:rPr>
      </w:pPr>
      <w:bookmarkStart w:id="8" w:name="_Toc21934"/>
      <w:r>
        <w:rPr>
          <w:rFonts w:hint="eastAsia" w:ascii="宋体" w:hAnsi="宋体"/>
          <w:b/>
          <w:szCs w:val="21"/>
        </w:rPr>
        <w:t>四、人才培养规格</w:t>
      </w:r>
      <w:bookmarkEnd w:id="8"/>
    </w:p>
    <w:p>
      <w:pPr>
        <w:spacing w:line="360" w:lineRule="auto"/>
        <w:ind w:firstLine="422" w:firstLineChars="200"/>
        <w:rPr>
          <w:rFonts w:ascii="宋体" w:hAnsi="宋体"/>
          <w:b/>
          <w:szCs w:val="21"/>
        </w:rPr>
      </w:pPr>
      <w:r>
        <w:rPr>
          <w:rFonts w:hint="eastAsia" w:ascii="宋体" w:hAnsi="宋体"/>
          <w:b/>
          <w:szCs w:val="21"/>
        </w:rPr>
        <w:t>（一）素质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4370"/>
        <w:gridCol w:w="2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素质类别</w:t>
            </w:r>
          </w:p>
        </w:tc>
        <w:tc>
          <w:tcPr>
            <w:tcW w:w="43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素  质  要  求</w:t>
            </w:r>
          </w:p>
        </w:tc>
        <w:tc>
          <w:tcPr>
            <w:tcW w:w="2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对 应 课 程 设 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思想政治素质</w:t>
            </w:r>
          </w:p>
        </w:tc>
        <w:tc>
          <w:tcPr>
            <w:tcW w:w="437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1.具有爱国主义、集体主义精神，践行社会主义核心价值观；</w:t>
            </w:r>
          </w:p>
          <w:p>
            <w:pPr>
              <w:rPr>
                <w:rFonts w:ascii="宋体" w:hAnsi="宋体"/>
                <w:szCs w:val="21"/>
              </w:rPr>
            </w:pPr>
            <w:r>
              <w:rPr>
                <w:rFonts w:hint="eastAsia" w:ascii="宋体" w:hAnsi="宋体"/>
                <w:szCs w:val="21"/>
              </w:rPr>
              <w:t>2.遵纪守法，有良好的思想道德和社会公德。</w:t>
            </w:r>
          </w:p>
        </w:tc>
        <w:tc>
          <w:tcPr>
            <w:tcW w:w="298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思想道德修养与法律基础、毛泽东思想和中国特色社会主义理论体系概论、形势与政策。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身心素质</w:t>
            </w:r>
          </w:p>
        </w:tc>
        <w:tc>
          <w:tcPr>
            <w:tcW w:w="437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1.具有良好的体育锻炼和卫生习惯；</w:t>
            </w:r>
          </w:p>
          <w:p>
            <w:pPr>
              <w:rPr>
                <w:rFonts w:ascii="宋体" w:hAnsi="宋体"/>
                <w:szCs w:val="21"/>
              </w:rPr>
            </w:pPr>
            <w:r>
              <w:rPr>
                <w:rFonts w:hint="eastAsia" w:ascii="宋体" w:hAnsi="宋体"/>
                <w:szCs w:val="21"/>
              </w:rPr>
              <w:t>2.达到国家规定的高职学生体育和军事训练合格标准；</w:t>
            </w:r>
          </w:p>
          <w:p>
            <w:pPr>
              <w:rPr>
                <w:rFonts w:ascii="宋体" w:hAnsi="宋体"/>
                <w:szCs w:val="21"/>
              </w:rPr>
            </w:pPr>
            <w:r>
              <w:rPr>
                <w:rFonts w:hint="eastAsia" w:ascii="宋体" w:hAnsi="宋体"/>
                <w:szCs w:val="21"/>
              </w:rPr>
              <w:t>3.具有健全的心理和健康的体魄。</w:t>
            </w:r>
          </w:p>
        </w:tc>
        <w:tc>
          <w:tcPr>
            <w:tcW w:w="298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体育与健康、军训、早操、心理健康讲座、文体活动、课外活动等。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1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职业素质</w:t>
            </w:r>
          </w:p>
        </w:tc>
        <w:tc>
          <w:tcPr>
            <w:tcW w:w="437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1.具备较强的服务意识及服务理念；</w:t>
            </w:r>
          </w:p>
          <w:p>
            <w:pPr>
              <w:rPr>
                <w:rFonts w:ascii="宋体" w:hAnsi="宋体"/>
                <w:szCs w:val="21"/>
              </w:rPr>
            </w:pPr>
            <w:r>
              <w:rPr>
                <w:rFonts w:hint="eastAsia" w:ascii="宋体" w:hAnsi="宋体"/>
                <w:szCs w:val="21"/>
              </w:rPr>
              <w:t>2.具备连续工作、夜间工作的精神和意愿；具有艰苦奋斗的精神；</w:t>
            </w:r>
          </w:p>
          <w:p>
            <w:pPr>
              <w:rPr>
                <w:rFonts w:ascii="宋体" w:hAnsi="宋体"/>
                <w:szCs w:val="21"/>
              </w:rPr>
            </w:pPr>
            <w:r>
              <w:rPr>
                <w:rFonts w:hint="eastAsia" w:ascii="宋体" w:hAnsi="宋体"/>
                <w:szCs w:val="21"/>
              </w:rPr>
              <w:t>3.心怀与患者进行良好沟通的意愿。</w:t>
            </w:r>
          </w:p>
        </w:tc>
        <w:tc>
          <w:tcPr>
            <w:tcW w:w="298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职业道德与就业指导、心理健康、人际沟通</w:t>
            </w:r>
          </w:p>
        </w:tc>
      </w:tr>
    </w:tbl>
    <w:p>
      <w:pPr>
        <w:spacing w:line="360" w:lineRule="auto"/>
        <w:ind w:firstLine="211" w:firstLineChars="100"/>
        <w:rPr>
          <w:rFonts w:ascii="宋体" w:hAnsi="宋体"/>
          <w:b/>
          <w:szCs w:val="21"/>
        </w:rPr>
      </w:pPr>
      <w:r>
        <w:rPr>
          <w:rFonts w:hint="eastAsia" w:ascii="宋体" w:hAnsi="宋体"/>
          <w:b/>
          <w:szCs w:val="21"/>
        </w:rPr>
        <w:t>（二）知识</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3610"/>
        <w:gridCol w:w="3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知识类别</w:t>
            </w:r>
          </w:p>
        </w:tc>
        <w:tc>
          <w:tcPr>
            <w:tcW w:w="36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知  识  要  求</w:t>
            </w:r>
          </w:p>
        </w:tc>
        <w:tc>
          <w:tcPr>
            <w:tcW w:w="3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对 应 课 程 设 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文化</w:t>
            </w:r>
          </w:p>
          <w:p>
            <w:pPr>
              <w:jc w:val="center"/>
              <w:rPr>
                <w:rFonts w:ascii="宋体" w:hAnsi="宋体"/>
                <w:szCs w:val="21"/>
              </w:rPr>
            </w:pPr>
          </w:p>
          <w:p>
            <w:pPr>
              <w:jc w:val="center"/>
              <w:rPr>
                <w:rFonts w:ascii="宋体" w:hAnsi="宋体"/>
                <w:szCs w:val="21"/>
              </w:rPr>
            </w:pPr>
            <w:r>
              <w:rPr>
                <w:rFonts w:hint="eastAsia" w:ascii="宋体" w:hAnsi="宋体"/>
                <w:szCs w:val="21"/>
              </w:rPr>
              <w:t>基础知识</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1.具有法律、道德常识，掌握中国特色社会主义基本理论。</w:t>
            </w:r>
          </w:p>
          <w:p>
            <w:pPr>
              <w:rPr>
                <w:rFonts w:ascii="宋体" w:hAnsi="宋体"/>
                <w:szCs w:val="21"/>
              </w:rPr>
            </w:pPr>
            <w:r>
              <w:rPr>
                <w:rFonts w:hint="eastAsia" w:ascii="宋体" w:hAnsi="宋体"/>
                <w:szCs w:val="21"/>
              </w:rPr>
              <w:t>2.具有基本文化艺术修养、礼仪知识；</w:t>
            </w:r>
          </w:p>
          <w:p>
            <w:pPr>
              <w:rPr>
                <w:rFonts w:ascii="宋体" w:hAnsi="宋体"/>
                <w:szCs w:val="21"/>
              </w:rPr>
            </w:pPr>
            <w:r>
              <w:rPr>
                <w:rFonts w:hint="eastAsia" w:ascii="宋体" w:hAnsi="宋体"/>
                <w:szCs w:val="21"/>
              </w:rPr>
              <w:t>3.掌握体育、英语和计算机、网络信息等知识。</w:t>
            </w:r>
          </w:p>
        </w:tc>
        <w:tc>
          <w:tcPr>
            <w:tcW w:w="380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思想道德修养与法律基础、毛泽东思想和中国特色社会主义理论体系概论、形势与政策、职业道德与就业指导、体育与健康、大学语文、大学体育、大学英语、心理健康、计算机基础等。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专业</w:t>
            </w:r>
          </w:p>
          <w:p>
            <w:pPr>
              <w:jc w:val="center"/>
              <w:rPr>
                <w:rFonts w:ascii="宋体" w:hAnsi="宋体"/>
                <w:szCs w:val="21"/>
              </w:rPr>
            </w:pPr>
            <w:r>
              <w:rPr>
                <w:rFonts w:hint="eastAsia" w:ascii="宋体" w:hAnsi="宋体"/>
                <w:szCs w:val="21"/>
              </w:rPr>
              <w:t>基础知识</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1.高等数学的基础理论知识；</w:t>
            </w:r>
          </w:p>
          <w:p>
            <w:pPr>
              <w:rPr>
                <w:rFonts w:ascii="宋体" w:hAnsi="宋体"/>
                <w:szCs w:val="21"/>
              </w:rPr>
            </w:pPr>
            <w:r>
              <w:rPr>
                <w:rFonts w:hint="eastAsia" w:ascii="宋体" w:hAnsi="宋体"/>
                <w:szCs w:val="21"/>
              </w:rPr>
              <w:t>2.建筑工程制图与识图；</w:t>
            </w:r>
          </w:p>
          <w:p>
            <w:pPr>
              <w:rPr>
                <w:rFonts w:ascii="宋体" w:hAnsi="宋体"/>
                <w:szCs w:val="21"/>
              </w:rPr>
            </w:pPr>
            <w:r>
              <w:rPr>
                <w:rFonts w:hint="eastAsia" w:ascii="宋体" w:hAnsi="宋体"/>
                <w:szCs w:val="21"/>
              </w:rPr>
              <w:t>3.建筑力学基本知识；</w:t>
            </w:r>
          </w:p>
          <w:p>
            <w:pPr>
              <w:rPr>
                <w:rFonts w:ascii="宋体" w:hAnsi="宋体"/>
                <w:szCs w:val="21"/>
              </w:rPr>
            </w:pPr>
            <w:r>
              <w:rPr>
                <w:rFonts w:hint="eastAsia" w:ascii="宋体" w:hAnsi="宋体"/>
                <w:szCs w:val="21"/>
              </w:rPr>
              <w:t>4.建筑工程测量的基本技能。</w:t>
            </w:r>
          </w:p>
        </w:tc>
        <w:tc>
          <w:tcPr>
            <w:tcW w:w="380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《高等数学》、</w:t>
            </w:r>
          </w:p>
          <w:p>
            <w:pPr>
              <w:rPr>
                <w:rFonts w:ascii="宋体" w:hAnsi="宋体"/>
                <w:szCs w:val="21"/>
              </w:rPr>
            </w:pPr>
            <w:r>
              <w:rPr>
                <w:rFonts w:hint="eastAsia" w:ascii="宋体" w:hAnsi="宋体"/>
                <w:szCs w:val="21"/>
              </w:rPr>
              <w:t>《建筑制图与识图》、</w:t>
            </w:r>
          </w:p>
          <w:p>
            <w:pPr>
              <w:rPr>
                <w:rFonts w:ascii="宋体" w:hAnsi="宋体"/>
                <w:szCs w:val="21"/>
              </w:rPr>
            </w:pPr>
            <w:r>
              <w:rPr>
                <w:rFonts w:hint="eastAsia" w:ascii="宋体" w:hAnsi="宋体"/>
                <w:szCs w:val="21"/>
              </w:rPr>
              <w:t>《建筑力学》</w:t>
            </w:r>
          </w:p>
          <w:p>
            <w:pPr>
              <w:rPr>
                <w:rFonts w:ascii="宋体" w:hAnsi="宋体"/>
                <w:szCs w:val="21"/>
              </w:rPr>
            </w:pPr>
            <w:r>
              <w:rPr>
                <w:rFonts w:hint="eastAsia" w:ascii="宋体" w:hAnsi="宋体"/>
                <w:szCs w:val="21"/>
              </w:rPr>
              <w:t>《建筑工程测量》</w:t>
            </w:r>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6" w:hRule="atLeast"/>
        </w:trPr>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专业知识</w:t>
            </w:r>
          </w:p>
        </w:tc>
        <w:tc>
          <w:tcPr>
            <w:tcW w:w="361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Cs w:val="21"/>
              </w:rPr>
            </w:pPr>
            <w:r>
              <w:rPr>
                <w:rFonts w:hint="eastAsia" w:ascii="宋体" w:hAnsi="宋体" w:cs="宋体"/>
                <w:kern w:val="0"/>
                <w:szCs w:val="21"/>
              </w:rPr>
              <w:t>1.具备建筑、装饰、安装等工程的预算与审核能力；</w:t>
            </w:r>
          </w:p>
          <w:p>
            <w:pPr>
              <w:jc w:val="left"/>
              <w:rPr>
                <w:rFonts w:ascii="宋体" w:hAnsi="宋体" w:cs="宋体"/>
                <w:kern w:val="0"/>
                <w:szCs w:val="21"/>
              </w:rPr>
            </w:pPr>
            <w:r>
              <w:rPr>
                <w:rFonts w:hint="eastAsia" w:ascii="宋体" w:hAnsi="宋体" w:cs="宋体"/>
                <w:kern w:val="0"/>
                <w:szCs w:val="21"/>
              </w:rPr>
              <w:t>2.具备建筑工程工程量计价与造价管理；</w:t>
            </w:r>
          </w:p>
          <w:p>
            <w:pPr>
              <w:jc w:val="left"/>
              <w:rPr>
                <w:rFonts w:ascii="宋体" w:hAnsi="宋体" w:cs="宋体"/>
                <w:kern w:val="0"/>
                <w:szCs w:val="21"/>
              </w:rPr>
            </w:pPr>
            <w:r>
              <w:rPr>
                <w:rFonts w:hint="eastAsia" w:ascii="宋体" w:hAnsi="宋体" w:cs="宋体"/>
                <w:kern w:val="0"/>
                <w:szCs w:val="21"/>
              </w:rPr>
              <w:t>3.掌握工程定额及相关政策法规；</w:t>
            </w:r>
          </w:p>
          <w:p>
            <w:pPr>
              <w:jc w:val="left"/>
              <w:rPr>
                <w:rFonts w:ascii="宋体" w:hAnsi="宋体" w:cs="宋体"/>
                <w:kern w:val="0"/>
                <w:szCs w:val="21"/>
              </w:rPr>
            </w:pPr>
            <w:r>
              <w:rPr>
                <w:rFonts w:hint="eastAsia" w:ascii="宋体" w:hAnsi="宋体" w:cs="宋体"/>
                <w:kern w:val="0"/>
                <w:szCs w:val="21"/>
              </w:rPr>
              <w:t>4.具备编制工程早投标标底能力；</w:t>
            </w:r>
          </w:p>
          <w:p>
            <w:pPr>
              <w:jc w:val="left"/>
              <w:rPr>
                <w:rFonts w:ascii="宋体" w:hAnsi="宋体"/>
                <w:szCs w:val="21"/>
              </w:rPr>
            </w:pPr>
            <w:r>
              <w:rPr>
                <w:rFonts w:hint="eastAsia" w:ascii="宋体" w:hAnsi="宋体"/>
                <w:szCs w:val="21"/>
              </w:rPr>
              <w:t>5.“建筑CAD”制图。</w:t>
            </w:r>
          </w:p>
        </w:tc>
        <w:tc>
          <w:tcPr>
            <w:tcW w:w="380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《建筑构造与识图》</w:t>
            </w:r>
          </w:p>
          <w:p>
            <w:pPr>
              <w:rPr>
                <w:rFonts w:ascii="宋体" w:hAnsi="宋体"/>
                <w:szCs w:val="21"/>
              </w:rPr>
            </w:pPr>
            <w:r>
              <w:rPr>
                <w:rFonts w:hint="eastAsia" w:ascii="宋体" w:hAnsi="宋体"/>
                <w:szCs w:val="21"/>
              </w:rPr>
              <w:t>《</w:t>
            </w:r>
            <w:r>
              <w:rPr>
                <w:rFonts w:hint="eastAsia" w:ascii="宋体" w:hAnsi="宋体"/>
                <w:color w:val="000000"/>
                <w:spacing w:val="-6"/>
                <w:szCs w:val="21"/>
              </w:rPr>
              <w:t>建筑工程计量与计价</w:t>
            </w:r>
            <w:r>
              <w:rPr>
                <w:rFonts w:hint="eastAsia" w:ascii="宋体" w:hAnsi="宋体"/>
                <w:szCs w:val="21"/>
              </w:rPr>
              <w:t>》</w:t>
            </w:r>
          </w:p>
          <w:p>
            <w:pPr>
              <w:rPr>
                <w:rFonts w:ascii="宋体" w:hAnsi="宋体"/>
                <w:szCs w:val="21"/>
              </w:rPr>
            </w:pPr>
            <w:r>
              <w:rPr>
                <w:rFonts w:hint="eastAsia" w:ascii="宋体" w:hAnsi="宋体"/>
                <w:szCs w:val="21"/>
              </w:rPr>
              <w:t>《建筑工程造价与管理》</w:t>
            </w:r>
          </w:p>
          <w:p>
            <w:pPr>
              <w:rPr>
                <w:rFonts w:ascii="宋体" w:hAnsi="宋体"/>
                <w:szCs w:val="21"/>
              </w:rPr>
            </w:pPr>
            <w:r>
              <w:rPr>
                <w:rFonts w:hint="eastAsia" w:ascii="宋体" w:hAnsi="宋体"/>
                <w:szCs w:val="21"/>
              </w:rPr>
              <w:t>《</w:t>
            </w:r>
            <w:r>
              <w:rPr>
                <w:rFonts w:hint="eastAsia" w:ascii="宋体" w:hAnsi="宋体" w:cs="宋体"/>
                <w:kern w:val="0"/>
                <w:szCs w:val="21"/>
              </w:rPr>
              <w:t>建筑法规</w:t>
            </w:r>
            <w:r>
              <w:rPr>
                <w:rFonts w:hint="eastAsia" w:ascii="宋体" w:hAnsi="宋体"/>
                <w:szCs w:val="21"/>
              </w:rPr>
              <w:t>》</w:t>
            </w:r>
          </w:p>
          <w:p>
            <w:pPr>
              <w:rPr>
                <w:rFonts w:ascii="宋体" w:hAnsi="宋体"/>
                <w:szCs w:val="21"/>
              </w:rPr>
            </w:pPr>
            <w:r>
              <w:rPr>
                <w:rFonts w:hint="eastAsia" w:ascii="宋体" w:hAnsi="宋体"/>
                <w:szCs w:val="21"/>
              </w:rPr>
              <w:t>《</w:t>
            </w:r>
            <w:r>
              <w:rPr>
                <w:rFonts w:hint="eastAsia" w:ascii="宋体" w:hAnsi="宋体" w:cs="宋体"/>
                <w:kern w:val="0"/>
                <w:szCs w:val="21"/>
              </w:rPr>
              <w:t>定额安装与预算</w:t>
            </w:r>
            <w:r>
              <w:rPr>
                <w:rFonts w:hint="eastAsia" w:ascii="宋体" w:hAnsi="宋体"/>
                <w:szCs w:val="21"/>
              </w:rPr>
              <w:t>》</w:t>
            </w:r>
          </w:p>
          <w:p>
            <w:pPr>
              <w:rPr>
                <w:rFonts w:ascii="宋体" w:hAnsi="宋体"/>
                <w:szCs w:val="21"/>
              </w:rPr>
            </w:pPr>
            <w:r>
              <w:rPr>
                <w:rFonts w:hint="eastAsia" w:ascii="宋体" w:hAnsi="宋体"/>
                <w:szCs w:val="21"/>
              </w:rPr>
              <w:t>《工程经济学》</w:t>
            </w:r>
          </w:p>
          <w:p>
            <w:pPr>
              <w:rPr>
                <w:rFonts w:ascii="宋体" w:hAnsi="宋体"/>
                <w:szCs w:val="21"/>
              </w:rPr>
            </w:pPr>
            <w:r>
              <w:rPr>
                <w:rFonts w:hint="eastAsia" w:ascii="宋体" w:hAnsi="宋体"/>
                <w:szCs w:val="21"/>
              </w:rPr>
              <w:t>《招投标与合同管理》</w:t>
            </w:r>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职业可持续发展知识</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熟悉文献查阅、工程造价基础知识、就业、创新创业知识。</w:t>
            </w:r>
          </w:p>
        </w:tc>
        <w:tc>
          <w:tcPr>
            <w:tcW w:w="380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文献检索、人际沟通、SYB培训、创新创业。</w:t>
            </w:r>
          </w:p>
        </w:tc>
      </w:tr>
    </w:tbl>
    <w:p>
      <w:pPr>
        <w:spacing w:line="360" w:lineRule="auto"/>
        <w:ind w:firstLine="570"/>
        <w:rPr>
          <w:rFonts w:ascii="宋体" w:hAnsi="宋体"/>
          <w:b/>
          <w:szCs w:val="21"/>
        </w:rPr>
      </w:pPr>
      <w:r>
        <w:rPr>
          <w:rFonts w:hint="eastAsia" w:ascii="宋体" w:hAnsi="宋体"/>
          <w:b/>
          <w:szCs w:val="21"/>
        </w:rPr>
        <w:t>（三）能力</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4129"/>
        <w:gridCol w:w="2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能力类别</w:t>
            </w:r>
          </w:p>
        </w:tc>
        <w:tc>
          <w:tcPr>
            <w:tcW w:w="41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能  力  要  求</w:t>
            </w:r>
          </w:p>
        </w:tc>
        <w:tc>
          <w:tcPr>
            <w:tcW w:w="29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对 应 课 程 设 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基础能力</w:t>
            </w:r>
          </w:p>
        </w:tc>
        <w:tc>
          <w:tcPr>
            <w:tcW w:w="412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szCs w:val="21"/>
              </w:rPr>
              <w:t>1.具有运用辩证唯物主义基本观点及方法分析和解决问题的能力。</w:t>
            </w:r>
          </w:p>
          <w:p>
            <w:pPr>
              <w:jc w:val="left"/>
              <w:rPr>
                <w:rFonts w:ascii="宋体" w:hAnsi="宋体"/>
                <w:szCs w:val="21"/>
              </w:rPr>
            </w:pPr>
            <w:r>
              <w:rPr>
                <w:rFonts w:hint="eastAsia" w:ascii="宋体" w:hAnsi="宋体"/>
                <w:szCs w:val="21"/>
              </w:rPr>
              <w:t>2.较强的语言及文字表达、基本的英语交流和一般性英语技术资料的处理能力、计算机操作能力；</w:t>
            </w:r>
          </w:p>
          <w:p>
            <w:pPr>
              <w:jc w:val="left"/>
              <w:rPr>
                <w:rFonts w:ascii="宋体" w:hAnsi="宋体"/>
                <w:szCs w:val="21"/>
              </w:rPr>
            </w:pPr>
            <w:r>
              <w:rPr>
                <w:rFonts w:hint="eastAsia" w:ascii="宋体" w:hAnsi="宋体"/>
                <w:szCs w:val="21"/>
              </w:rPr>
              <w:t>3.具有适宜的体育运动技能和锻炼能力；</w:t>
            </w:r>
          </w:p>
          <w:p>
            <w:pPr>
              <w:jc w:val="left"/>
              <w:rPr>
                <w:rFonts w:ascii="宋体" w:hAnsi="宋体"/>
                <w:szCs w:val="21"/>
              </w:rPr>
            </w:pPr>
            <w:r>
              <w:rPr>
                <w:rFonts w:hint="eastAsia" w:ascii="宋体" w:hAnsi="宋体"/>
                <w:szCs w:val="21"/>
              </w:rPr>
              <w:t>4.具备与人良好沟通的能力。</w:t>
            </w:r>
          </w:p>
        </w:tc>
        <w:tc>
          <w:tcPr>
            <w:tcW w:w="293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思想道德修养与法律基础、毛泽东思想和中国特色社会主义理论体系概论、职业道德与就业指导、形势与政策、体育与健康、大学语文、心理健康教育。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职业</w:t>
            </w:r>
          </w:p>
          <w:p>
            <w:pPr>
              <w:jc w:val="center"/>
              <w:rPr>
                <w:rFonts w:ascii="宋体" w:hAnsi="宋体"/>
                <w:szCs w:val="21"/>
              </w:rPr>
            </w:pPr>
            <w:r>
              <w:rPr>
                <w:rFonts w:hint="eastAsia" w:ascii="宋体" w:hAnsi="宋体"/>
                <w:szCs w:val="21"/>
              </w:rPr>
              <w:t>核心能力</w:t>
            </w:r>
          </w:p>
        </w:tc>
        <w:tc>
          <w:tcPr>
            <w:tcW w:w="412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1.具备工程造价管理的能力；</w:t>
            </w:r>
          </w:p>
          <w:p>
            <w:pPr>
              <w:rPr>
                <w:rFonts w:ascii="宋体" w:hAnsi="宋体"/>
                <w:szCs w:val="21"/>
              </w:rPr>
            </w:pPr>
            <w:r>
              <w:rPr>
                <w:rFonts w:hint="eastAsia" w:ascii="宋体" w:hAnsi="宋体"/>
                <w:szCs w:val="21"/>
              </w:rPr>
              <w:t>2.具备建筑、装饰等工程造价预算与审核能力。</w:t>
            </w:r>
          </w:p>
        </w:tc>
        <w:tc>
          <w:tcPr>
            <w:tcW w:w="293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 xml:space="preserve"> 建筑法规、建筑工程计量与计价、安装工程定额与预算、建筑工程造价管理、工程经济学、设备安装工程。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职业可持续发展能力</w:t>
            </w:r>
          </w:p>
        </w:tc>
        <w:tc>
          <w:tcPr>
            <w:tcW w:w="412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具备文献查阅能力、人际沟通能力、工程管理能力</w:t>
            </w:r>
          </w:p>
        </w:tc>
        <w:tc>
          <w:tcPr>
            <w:tcW w:w="293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文献检索、人际沟通、工程管理管理学等</w:t>
            </w:r>
          </w:p>
        </w:tc>
      </w:tr>
    </w:tbl>
    <w:p>
      <w:pPr>
        <w:spacing w:line="360" w:lineRule="auto"/>
        <w:ind w:firstLine="422" w:firstLineChars="200"/>
        <w:outlineLvl w:val="0"/>
        <w:rPr>
          <w:rFonts w:ascii="宋体" w:hAnsi="宋体"/>
          <w:b/>
          <w:szCs w:val="21"/>
        </w:rPr>
      </w:pPr>
      <w:bookmarkStart w:id="9" w:name="_Toc12604"/>
      <w:r>
        <w:rPr>
          <w:rFonts w:hint="eastAsia" w:ascii="宋体" w:hAnsi="宋体"/>
          <w:b/>
          <w:szCs w:val="21"/>
        </w:rPr>
        <w:t>五、人才培养模式</w:t>
      </w:r>
      <w:bookmarkEnd w:id="9"/>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在“工学结合、产学结合”框架下，坚持育人为本，促进德技并修，搭建校企合作育人平台，</w:t>
      </w:r>
      <w:r>
        <w:rPr>
          <w:rFonts w:hint="eastAsia" w:asciiTheme="minorEastAsia" w:hAnsiTheme="minorEastAsia" w:eastAsiaTheme="minorEastAsia" w:cstheme="minorEastAsia"/>
          <w:szCs w:val="21"/>
        </w:rPr>
        <w:t>探索“阶梯式、三阶段”的人才培养模式</w:t>
      </w:r>
      <w:r>
        <w:rPr>
          <w:rFonts w:hint="eastAsia" w:asciiTheme="minorEastAsia" w:hAnsiTheme="minorEastAsia" w:eastAsiaTheme="minorEastAsia" w:cstheme="minorEastAsia"/>
          <w:bCs/>
          <w:szCs w:val="21"/>
        </w:rPr>
        <w:t>，全面实施素质教育，培养德智体美全面发展的高素质劳动者和技术技能人才。</w:t>
      </w:r>
    </w:p>
    <w:p>
      <w:pPr>
        <w:spacing w:line="360" w:lineRule="auto"/>
        <w:ind w:firstLine="480"/>
        <w:rPr>
          <w:rFonts w:ascii="宋体" w:hAnsi="宋体"/>
          <w:szCs w:val="21"/>
        </w:rPr>
      </w:pPr>
      <w:r>
        <w:rPr>
          <w:rFonts w:hint="eastAsia" w:ascii="宋体" w:hAnsi="宋体"/>
          <w:szCs w:val="21"/>
        </w:rPr>
        <w:t>校企合作育人平台：即学校、企业共同形成育人平台，协调互助，共同培养人才，达到良好的育人效果。</w:t>
      </w:r>
    </w:p>
    <w:p>
      <w:pPr>
        <w:ind w:firstLine="422" w:firstLineChars="200"/>
        <w:outlineLvl w:val="0"/>
        <w:rPr>
          <w:rFonts w:ascii="宋体" w:hAnsi="宋体" w:cs="宋体"/>
          <w:b/>
          <w:szCs w:val="21"/>
        </w:rPr>
      </w:pPr>
      <w:bookmarkStart w:id="10" w:name="_Toc11781"/>
      <w:r>
        <w:rPr>
          <w:rFonts w:hint="eastAsia" w:ascii="宋体" w:hAnsi="宋体" w:cs="宋体"/>
          <w:b/>
          <w:szCs w:val="21"/>
        </w:rPr>
        <w:t>六、职业范围及就业岗位</w:t>
      </w:r>
      <w:bookmarkEnd w:id="10"/>
    </w:p>
    <w:p>
      <w:pPr>
        <w:spacing w:line="360" w:lineRule="auto"/>
        <w:ind w:firstLine="420" w:firstLineChars="200"/>
        <w:rPr>
          <w:rFonts w:ascii="宋体" w:hAnsi="宋体" w:cs="宋体"/>
          <w:szCs w:val="21"/>
        </w:rPr>
      </w:pPr>
      <w:r>
        <w:rPr>
          <w:rFonts w:hint="eastAsia" w:ascii="宋体" w:hAnsi="宋体" w:cs="宋体"/>
          <w:szCs w:val="21"/>
        </w:rPr>
        <w:t>本专业毕业生主要从事工程造价的编制工作，能够熟练运用计算机和应用软件进行工程计量、计价以及编制招投标文件，可从事的具体岗位是造价工程师助理，主要岗位群为：建筑工程造价、安装工程造价、装饰工程造价、市政工程造价编制等。</w:t>
      </w:r>
    </w:p>
    <w:tbl>
      <w:tblPr>
        <w:tblStyle w:val="7"/>
        <w:tblpPr w:leftFromText="180" w:rightFromText="180" w:vertAnchor="text" w:horzAnchor="page" w:tblpX="1852" w:tblpY="100"/>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6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职业面向</w:t>
            </w:r>
          </w:p>
        </w:tc>
        <w:tc>
          <w:tcPr>
            <w:tcW w:w="69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行业要求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预算员</w:t>
            </w:r>
          </w:p>
        </w:tc>
        <w:tc>
          <w:tcPr>
            <w:tcW w:w="695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1.具有娴熟的施工图识图能力；</w:t>
            </w:r>
          </w:p>
          <w:p>
            <w:pPr>
              <w:rPr>
                <w:rFonts w:ascii="宋体" w:hAnsi="宋体"/>
                <w:szCs w:val="21"/>
              </w:rPr>
            </w:pPr>
            <w:r>
              <w:rPr>
                <w:rFonts w:hint="eastAsia" w:ascii="宋体" w:hAnsi="宋体"/>
                <w:szCs w:val="21"/>
              </w:rPr>
              <w:t>2.具有编制审核施工图预算的能力；</w:t>
            </w:r>
          </w:p>
          <w:p>
            <w:pPr>
              <w:rPr>
                <w:rFonts w:ascii="宋体" w:hAnsi="宋体"/>
                <w:szCs w:val="21"/>
              </w:rPr>
            </w:pPr>
            <w:r>
              <w:rPr>
                <w:rFonts w:hint="eastAsia" w:ascii="宋体" w:hAnsi="宋体"/>
                <w:szCs w:val="21"/>
              </w:rPr>
              <w:t>3.掌握国家法律法规及有关工程造价管理规定。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56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color w:val="333333"/>
                <w:szCs w:val="21"/>
              </w:rPr>
              <w:t>造价员</w:t>
            </w:r>
          </w:p>
        </w:tc>
        <w:tc>
          <w:tcPr>
            <w:tcW w:w="695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1.具有具备工程造价管理的能力；</w:t>
            </w:r>
          </w:p>
          <w:p>
            <w:pPr>
              <w:rPr>
                <w:rFonts w:ascii="宋体" w:hAnsi="宋体"/>
                <w:szCs w:val="21"/>
              </w:rPr>
            </w:pPr>
            <w:r>
              <w:rPr>
                <w:rFonts w:hint="eastAsia" w:ascii="宋体" w:hAnsi="宋体"/>
                <w:szCs w:val="21"/>
              </w:rPr>
              <w:t>2.具有具备建筑、装饰等工程造价文件编制与审核能力。；</w:t>
            </w:r>
          </w:p>
        </w:tc>
      </w:tr>
    </w:tbl>
    <w:p>
      <w:pPr>
        <w:spacing w:line="360" w:lineRule="auto"/>
        <w:ind w:firstLine="413" w:firstLineChars="196"/>
        <w:rPr>
          <w:b/>
          <w:szCs w:val="21"/>
        </w:rPr>
      </w:pPr>
      <w:r>
        <w:rPr>
          <w:rFonts w:hint="eastAsia"/>
          <w:b/>
          <w:szCs w:val="21"/>
        </w:rPr>
        <w:t>七、职业能力分析</w:t>
      </w: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842"/>
        <w:gridCol w:w="1563"/>
        <w:gridCol w:w="4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jc w:val="center"/>
              <w:rPr>
                <w:rFonts w:ascii="宋体" w:hAnsi="宋体"/>
                <w:b/>
                <w:kern w:val="0"/>
                <w:sz w:val="20"/>
                <w:szCs w:val="21"/>
              </w:rPr>
            </w:pPr>
            <w:r>
              <w:rPr>
                <w:rFonts w:hint="eastAsia" w:ascii="宋体" w:hAnsi="宋体"/>
                <w:b/>
                <w:kern w:val="0"/>
                <w:sz w:val="20"/>
                <w:szCs w:val="21"/>
              </w:rPr>
              <w:t>综合能力</w:t>
            </w:r>
          </w:p>
        </w:tc>
        <w:tc>
          <w:tcPr>
            <w:tcW w:w="1842" w:type="dxa"/>
          </w:tcPr>
          <w:p>
            <w:pPr>
              <w:jc w:val="center"/>
              <w:rPr>
                <w:rFonts w:ascii="宋体" w:hAnsi="宋体"/>
                <w:b/>
                <w:kern w:val="0"/>
                <w:sz w:val="20"/>
                <w:szCs w:val="21"/>
              </w:rPr>
            </w:pPr>
            <w:r>
              <w:rPr>
                <w:rFonts w:hint="eastAsia" w:ascii="宋体" w:hAnsi="宋体"/>
                <w:b/>
                <w:kern w:val="0"/>
                <w:sz w:val="20"/>
                <w:szCs w:val="21"/>
              </w:rPr>
              <w:t>专项能力</w:t>
            </w:r>
          </w:p>
        </w:tc>
        <w:tc>
          <w:tcPr>
            <w:tcW w:w="1563" w:type="dxa"/>
          </w:tcPr>
          <w:p>
            <w:pPr>
              <w:jc w:val="center"/>
              <w:rPr>
                <w:rFonts w:ascii="宋体" w:hAnsi="宋体"/>
                <w:b/>
                <w:kern w:val="0"/>
                <w:sz w:val="20"/>
                <w:szCs w:val="21"/>
              </w:rPr>
            </w:pPr>
            <w:r>
              <w:rPr>
                <w:rFonts w:hint="eastAsia" w:ascii="宋体" w:hAnsi="宋体"/>
                <w:b/>
                <w:kern w:val="0"/>
                <w:sz w:val="20"/>
                <w:szCs w:val="21"/>
              </w:rPr>
              <w:t>对应实践课程</w:t>
            </w:r>
          </w:p>
        </w:tc>
        <w:tc>
          <w:tcPr>
            <w:tcW w:w="4269" w:type="dxa"/>
          </w:tcPr>
          <w:p>
            <w:pPr>
              <w:jc w:val="center"/>
              <w:rPr>
                <w:rFonts w:ascii="宋体" w:hAnsi="宋体"/>
                <w:b/>
                <w:kern w:val="0"/>
                <w:sz w:val="20"/>
                <w:szCs w:val="21"/>
              </w:rPr>
            </w:pPr>
            <w:r>
              <w:rPr>
                <w:rFonts w:hint="eastAsia" w:ascii="宋体" w:hAnsi="宋体"/>
                <w:b/>
                <w:kern w:val="0"/>
                <w:sz w:val="20"/>
                <w:szCs w:val="21"/>
              </w:rPr>
              <w:t>对应理论课程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vAlign w:val="center"/>
          </w:tcPr>
          <w:p>
            <w:pPr>
              <w:jc w:val="center"/>
              <w:rPr>
                <w:rFonts w:ascii="宋体" w:hAnsi="宋体"/>
                <w:kern w:val="0"/>
                <w:sz w:val="20"/>
                <w:szCs w:val="21"/>
              </w:rPr>
            </w:pPr>
            <w:r>
              <w:rPr>
                <w:rFonts w:hint="eastAsia" w:ascii="宋体" w:hAnsi="宋体"/>
                <w:kern w:val="0"/>
                <w:sz w:val="20"/>
                <w:szCs w:val="21"/>
              </w:rPr>
              <w:t>工程造价</w:t>
            </w:r>
          </w:p>
        </w:tc>
        <w:tc>
          <w:tcPr>
            <w:tcW w:w="1842" w:type="dxa"/>
            <w:vAlign w:val="center"/>
          </w:tcPr>
          <w:p>
            <w:pPr>
              <w:jc w:val="center"/>
              <w:rPr>
                <w:rFonts w:ascii="宋体" w:hAnsi="宋体"/>
                <w:kern w:val="0"/>
                <w:sz w:val="20"/>
                <w:szCs w:val="21"/>
              </w:rPr>
            </w:pPr>
            <w:r>
              <w:rPr>
                <w:rFonts w:hint="eastAsia" w:ascii="宋体" w:hAnsi="宋体"/>
                <w:kern w:val="0"/>
                <w:sz w:val="20"/>
                <w:szCs w:val="21"/>
              </w:rPr>
              <w:t>造价编制与审核</w:t>
            </w:r>
          </w:p>
        </w:tc>
        <w:tc>
          <w:tcPr>
            <w:tcW w:w="1563" w:type="dxa"/>
            <w:vAlign w:val="center"/>
          </w:tcPr>
          <w:p>
            <w:pPr>
              <w:jc w:val="left"/>
              <w:rPr>
                <w:rFonts w:ascii="宋体" w:hAnsi="宋体"/>
                <w:kern w:val="0"/>
                <w:sz w:val="20"/>
                <w:szCs w:val="21"/>
              </w:rPr>
            </w:pPr>
            <w:r>
              <w:rPr>
                <w:rFonts w:hint="eastAsia" w:ascii="宋体" w:hAnsi="宋体"/>
                <w:kern w:val="0"/>
                <w:sz w:val="20"/>
                <w:szCs w:val="21"/>
              </w:rPr>
              <w:t>建筑工程计量计价</w:t>
            </w:r>
          </w:p>
        </w:tc>
        <w:tc>
          <w:tcPr>
            <w:tcW w:w="4269" w:type="dxa"/>
            <w:vAlign w:val="center"/>
          </w:tcPr>
          <w:p>
            <w:pPr>
              <w:jc w:val="left"/>
              <w:rPr>
                <w:rFonts w:ascii="宋体" w:hAnsi="宋体"/>
                <w:kern w:val="0"/>
                <w:sz w:val="20"/>
                <w:szCs w:val="21"/>
              </w:rPr>
            </w:pPr>
            <w:r>
              <w:rPr>
                <w:rFonts w:hint="eastAsia" w:ascii="宋体" w:hAnsi="宋体"/>
                <w:kern w:val="0"/>
                <w:sz w:val="20"/>
                <w:szCs w:val="21"/>
              </w:rPr>
              <w:t xml:space="preserve"> 建筑法规、建筑工程计量与计价、安装工程定额与预算、建筑工程造价管理、工程经济学、设备安装工程</w:t>
            </w:r>
          </w:p>
        </w:tc>
      </w:tr>
    </w:tbl>
    <w:p>
      <w:pPr>
        <w:spacing w:line="360" w:lineRule="auto"/>
        <w:ind w:firstLine="422" w:firstLineChars="200"/>
        <w:rPr>
          <w:rFonts w:ascii="宋体" w:hAnsi="宋体" w:cs="宋体"/>
          <w:szCs w:val="21"/>
        </w:rPr>
      </w:pPr>
      <w:r>
        <w:rPr>
          <w:rFonts w:hint="eastAsia" w:ascii="宋体" w:hAnsi="宋体" w:cs="宋体"/>
          <w:b/>
          <w:szCs w:val="21"/>
        </w:rPr>
        <w:t>八、课程体系</w:t>
      </w:r>
    </w:p>
    <w:p>
      <w:pPr>
        <w:spacing w:line="360" w:lineRule="auto"/>
        <w:ind w:firstLine="420" w:firstLineChars="200"/>
        <w:rPr>
          <w:rFonts w:ascii="宋体" w:hAnsi="宋体"/>
          <w:szCs w:val="21"/>
        </w:rPr>
      </w:pPr>
      <w:r>
        <w:rPr>
          <w:rFonts w:hint="eastAsia" w:ascii="宋体" w:hAnsi="宋体" w:cs="宋体"/>
          <w:bCs/>
          <w:szCs w:val="21"/>
        </w:rPr>
        <w:t>构建以新时代思想政治理论课为引领，强化公共课基础，建立专业基础、专业骨干、专业辅修等模块的专业课体系，深化实践教学环节改革，搭建素质拓展网络课平台，</w:t>
      </w:r>
      <w:r>
        <w:rPr>
          <w:rFonts w:hint="eastAsia" w:ascii="宋体" w:hAnsi="宋体"/>
          <w:szCs w:val="21"/>
        </w:rPr>
        <w:t>推进全面素质教育，实现人才培养目标。</w:t>
      </w:r>
    </w:p>
    <w:p>
      <w:pPr>
        <w:spacing w:line="360" w:lineRule="auto"/>
        <w:ind w:firstLine="422" w:firstLineChars="200"/>
        <w:rPr>
          <w:rFonts w:ascii="宋体" w:hAnsi="宋体" w:cs="宋体"/>
          <w:b/>
          <w:szCs w:val="21"/>
        </w:rPr>
      </w:pPr>
      <w:r>
        <w:rPr>
          <w:rFonts w:hint="eastAsia" w:ascii="宋体" w:hAnsi="宋体" w:cs="宋体"/>
          <w:b/>
          <w:szCs w:val="21"/>
        </w:rPr>
        <w:t>（一）思想政治理论课</w:t>
      </w:r>
    </w:p>
    <w:p>
      <w:pPr>
        <w:spacing w:line="360" w:lineRule="auto"/>
        <w:ind w:firstLine="481"/>
        <w:rPr>
          <w:rFonts w:ascii="宋体" w:hAnsi="宋体" w:cs="宋体"/>
          <w:bCs/>
          <w:szCs w:val="21"/>
        </w:rPr>
      </w:pPr>
      <w:r>
        <w:rPr>
          <w:rFonts w:hint="eastAsia" w:ascii="宋体" w:hAnsi="宋体" w:cs="宋体"/>
          <w:bCs/>
          <w:szCs w:val="21"/>
        </w:rPr>
        <w:t>高校思想政治理论课承担着对大学生进行系统的马克思主义理论教育的任务，是巩固马克思主义在高校意识形态领域指导地位、坚持社会主义办学方向的重要阵地，是全面贯彻党的教育方针、落实立德树人根本任务的主干渠道和核心课程，是加强和改进高校思想政治工作、实现高等教育内涵式发展的灵魂课程。</w:t>
      </w:r>
    </w:p>
    <w:p>
      <w:pPr>
        <w:spacing w:line="360" w:lineRule="auto"/>
        <w:ind w:firstLine="481"/>
        <w:rPr>
          <w:rFonts w:ascii="宋体" w:hAnsi="宋体" w:cs="宋体"/>
          <w:bCs/>
          <w:szCs w:val="21"/>
        </w:rPr>
      </w:pPr>
      <w:r>
        <w:rPr>
          <w:rFonts w:hint="eastAsia" w:ascii="宋体" w:hAnsi="宋体" w:cs="宋体"/>
          <w:bCs/>
          <w:szCs w:val="21"/>
        </w:rPr>
        <w:t>按照《新时代高校思想政治理论课教学工作基本要求》，必须开设：“毛泽东思想和中国特色社会主义理论体系概论”课（4学分）、“思想道德修养与法律基础”课（</w:t>
      </w:r>
      <w:r>
        <w:rPr>
          <w:rFonts w:hint="eastAsia" w:ascii="宋体" w:hAnsi="宋体" w:cs="宋体"/>
          <w:bCs/>
          <w:szCs w:val="21"/>
          <w:lang w:val="en-US" w:eastAsia="zh-CN"/>
        </w:rPr>
        <w:t>2</w:t>
      </w:r>
      <w:r>
        <w:rPr>
          <w:rFonts w:hint="eastAsia" w:ascii="宋体" w:hAnsi="宋体" w:cs="宋体"/>
          <w:bCs/>
          <w:szCs w:val="21"/>
        </w:rPr>
        <w:t>学分）、“形势与政策”课（</w:t>
      </w:r>
      <w:r>
        <w:rPr>
          <w:rFonts w:hint="eastAsia" w:ascii="宋体" w:hAnsi="宋体" w:cs="宋体"/>
          <w:bCs/>
          <w:szCs w:val="21"/>
          <w:lang w:val="en-US" w:eastAsia="zh-CN"/>
        </w:rPr>
        <w:t>1</w:t>
      </w:r>
      <w:r>
        <w:rPr>
          <w:rFonts w:hint="eastAsia" w:ascii="宋体" w:hAnsi="宋体" w:cs="宋体"/>
          <w:bCs/>
          <w:szCs w:val="21"/>
        </w:rPr>
        <w:t>学分）等三门必修课程，以网络平台课开设相关选修课。</w:t>
      </w:r>
    </w:p>
    <w:p>
      <w:pPr>
        <w:widowControl/>
        <w:shd w:val="clear" w:color="auto" w:fill="FFFFFF"/>
        <w:spacing w:line="360" w:lineRule="auto"/>
        <w:ind w:firstLine="420" w:firstLineChars="200"/>
        <w:jc w:val="left"/>
        <w:outlineLvl w:val="1"/>
        <w:rPr>
          <w:rFonts w:ascii="宋体" w:hAnsi="宋体" w:cs="宋体"/>
          <w:bCs/>
          <w:szCs w:val="21"/>
        </w:rPr>
      </w:pPr>
      <w:r>
        <w:rPr>
          <w:rFonts w:hint="eastAsia" w:ascii="宋体" w:hAnsi="宋体" w:cs="宋体"/>
          <w:bCs/>
          <w:szCs w:val="21"/>
        </w:rPr>
        <w:t>各课程须严格按照教育部关于印发《新时代高校思想政治理论课教学工作基本要求》的通知（教社科[2018]2 号）和教育部《关于加强新时代高校“形势与政策”课建设的若干意见》（教社科〔2018〕1号）的要求组织教学各环节。</w:t>
      </w:r>
    </w:p>
    <w:p>
      <w:pPr>
        <w:spacing w:line="360" w:lineRule="auto"/>
        <w:ind w:firstLine="422" w:firstLineChars="200"/>
        <w:rPr>
          <w:rFonts w:ascii="宋体" w:hAnsi="宋体" w:cs="宋体"/>
          <w:b/>
          <w:szCs w:val="21"/>
        </w:rPr>
      </w:pPr>
      <w:r>
        <w:rPr>
          <w:rFonts w:hint="eastAsia" w:ascii="宋体" w:hAnsi="宋体" w:cs="宋体"/>
          <w:b/>
          <w:szCs w:val="21"/>
        </w:rPr>
        <w:t>（二）公共基础课</w:t>
      </w:r>
    </w:p>
    <w:p>
      <w:pPr>
        <w:spacing w:line="360" w:lineRule="auto"/>
        <w:ind w:firstLine="495"/>
        <w:rPr>
          <w:rFonts w:ascii="宋体" w:hAnsi="宋体" w:cs="宋体"/>
          <w:szCs w:val="21"/>
        </w:rPr>
      </w:pPr>
      <w:r>
        <w:rPr>
          <w:rFonts w:hint="eastAsia" w:ascii="宋体" w:hAnsi="宋体" w:cs="宋体"/>
          <w:szCs w:val="21"/>
        </w:rPr>
        <w:t>开设以下公共基础课：大学语文</w:t>
      </w:r>
      <w:r>
        <w:rPr>
          <w:rFonts w:hint="eastAsia" w:ascii="宋体" w:hAnsi="宋体" w:cs="宋体"/>
          <w:szCs w:val="21"/>
          <w:lang w:eastAsia="zh-CN"/>
        </w:rPr>
        <w:t>、</w:t>
      </w:r>
      <w:r>
        <w:rPr>
          <w:rFonts w:hint="eastAsia" w:ascii="宋体" w:hAnsi="宋体" w:cs="宋体"/>
          <w:szCs w:val="21"/>
        </w:rPr>
        <w:t>大学英语</w:t>
      </w:r>
      <w:r>
        <w:rPr>
          <w:rFonts w:hint="eastAsia" w:ascii="宋体" w:hAnsi="宋体" w:cs="宋体"/>
          <w:szCs w:val="21"/>
          <w:lang w:eastAsia="zh-CN"/>
        </w:rPr>
        <w:t>、</w:t>
      </w:r>
      <w:r>
        <w:rPr>
          <w:rFonts w:hint="eastAsia" w:ascii="宋体" w:hAnsi="宋体" w:cs="宋体"/>
          <w:szCs w:val="21"/>
        </w:rPr>
        <w:t>计算机基础</w:t>
      </w:r>
      <w:r>
        <w:rPr>
          <w:rFonts w:hint="eastAsia" w:ascii="宋体" w:hAnsi="宋体" w:cs="宋体"/>
          <w:szCs w:val="21"/>
          <w:lang w:eastAsia="zh-CN"/>
        </w:rPr>
        <w:t>、</w:t>
      </w:r>
      <w:r>
        <w:rPr>
          <w:rFonts w:hint="eastAsia" w:ascii="宋体" w:hAnsi="宋体" w:cs="宋体"/>
          <w:szCs w:val="21"/>
        </w:rPr>
        <w:t>大学体育</w:t>
      </w:r>
      <w:r>
        <w:rPr>
          <w:rFonts w:hint="eastAsia" w:ascii="宋体" w:hAnsi="宋体" w:cs="宋体"/>
          <w:szCs w:val="21"/>
          <w:lang w:eastAsia="zh-CN"/>
        </w:rPr>
        <w:t>、</w:t>
      </w:r>
      <w:r>
        <w:rPr>
          <w:rFonts w:hint="eastAsia" w:ascii="宋体" w:hAnsi="宋体" w:cs="宋体"/>
          <w:szCs w:val="21"/>
        </w:rPr>
        <w:t>创业与就业指导</w:t>
      </w:r>
      <w:r>
        <w:rPr>
          <w:rFonts w:hint="eastAsia" w:ascii="宋体" w:hAnsi="宋体" w:cs="宋体"/>
          <w:szCs w:val="21"/>
          <w:lang w:eastAsia="zh-CN"/>
        </w:rPr>
        <w:t>、</w:t>
      </w:r>
      <w:r>
        <w:rPr>
          <w:rFonts w:hint="eastAsia" w:ascii="宋体" w:hAnsi="宋体" w:cs="宋体"/>
          <w:szCs w:val="21"/>
        </w:rPr>
        <w:t>军事理论</w:t>
      </w:r>
      <w:r>
        <w:rPr>
          <w:rFonts w:hint="eastAsia" w:ascii="宋体" w:hAnsi="宋体" w:cs="宋体"/>
          <w:szCs w:val="21"/>
          <w:lang w:eastAsia="zh-CN"/>
        </w:rPr>
        <w:t>、</w:t>
      </w:r>
      <w:r>
        <w:rPr>
          <w:rFonts w:hint="eastAsia" w:ascii="宋体" w:hAnsi="宋体" w:cs="宋体"/>
          <w:szCs w:val="21"/>
        </w:rPr>
        <w:t>公共卫生、传染病防控、禁毒防艾等课程，巩固公共基础，拓展社会适应能力，强身健体，保障安全，构建职业规划，发展创新思维，促进就业创业。</w:t>
      </w:r>
    </w:p>
    <w:p>
      <w:pPr>
        <w:spacing w:line="360" w:lineRule="auto"/>
        <w:ind w:firstLine="422" w:firstLineChars="200"/>
        <w:rPr>
          <w:rFonts w:ascii="宋体" w:hAnsi="宋体" w:cs="宋体"/>
          <w:b/>
          <w:szCs w:val="21"/>
        </w:rPr>
      </w:pPr>
      <w:r>
        <w:rPr>
          <w:rFonts w:hint="eastAsia" w:ascii="宋体" w:hAnsi="宋体" w:cs="宋体"/>
          <w:b/>
          <w:szCs w:val="21"/>
        </w:rPr>
        <w:t>（三）专业课程</w:t>
      </w:r>
    </w:p>
    <w:p>
      <w:pPr>
        <w:spacing w:line="360" w:lineRule="auto"/>
        <w:ind w:firstLine="420" w:firstLineChars="200"/>
        <w:rPr>
          <w:rFonts w:ascii="宋体" w:hAnsi="宋体" w:cs="宋体"/>
          <w:szCs w:val="21"/>
        </w:rPr>
      </w:pPr>
      <w:r>
        <w:rPr>
          <w:rFonts w:hint="eastAsia" w:ascii="宋体" w:hAnsi="宋体" w:cs="宋体"/>
          <w:szCs w:val="21"/>
        </w:rPr>
        <w:t>开设以下课程，实现理论与实践结合，了解本专业基本知识、基本理论，掌握本专业核心技能，培养工匠精神，形成良好的职业素养。有“*”者为核心课程，共6门。</w:t>
      </w:r>
    </w:p>
    <w:p>
      <w:pPr>
        <w:widowControl/>
        <w:numPr>
          <w:ilvl w:val="0"/>
          <w:numId w:val="1"/>
        </w:numPr>
        <w:adjustRightInd w:val="0"/>
        <w:snapToGrid w:val="0"/>
        <w:spacing w:line="360" w:lineRule="auto"/>
        <w:ind w:firstLine="420" w:firstLineChars="200"/>
        <w:jc w:val="left"/>
        <w:rPr>
          <w:rFonts w:ascii="宋体" w:hAnsi="宋体"/>
          <w:bCs/>
          <w:szCs w:val="21"/>
        </w:rPr>
      </w:pPr>
      <w:r>
        <w:rPr>
          <w:rFonts w:hint="eastAsia"/>
          <w:szCs w:val="21"/>
        </w:rPr>
        <w:t>专业基础课：建筑制图与识图*</w:t>
      </w:r>
      <w:r>
        <w:rPr>
          <w:rFonts w:hint="eastAsia"/>
          <w:szCs w:val="21"/>
          <w:lang w:eastAsia="zh-CN"/>
        </w:rPr>
        <w:t>、</w:t>
      </w:r>
      <w:r>
        <w:rPr>
          <w:rFonts w:hint="eastAsia"/>
          <w:szCs w:val="21"/>
        </w:rPr>
        <w:t>建筑工程测量</w:t>
      </w:r>
      <w:r>
        <w:rPr>
          <w:rFonts w:hint="eastAsia"/>
          <w:szCs w:val="21"/>
          <w:lang w:eastAsia="zh-CN"/>
        </w:rPr>
        <w:t>、</w:t>
      </w:r>
      <w:r>
        <w:rPr>
          <w:rFonts w:hint="eastAsia"/>
          <w:szCs w:val="21"/>
        </w:rPr>
        <w:t>建筑CAD</w:t>
      </w:r>
      <w:r>
        <w:rPr>
          <w:rFonts w:hint="eastAsia"/>
          <w:szCs w:val="21"/>
          <w:lang w:eastAsia="zh-CN"/>
        </w:rPr>
        <w:t>、</w:t>
      </w:r>
      <w:r>
        <w:rPr>
          <w:rFonts w:hint="eastAsia"/>
          <w:szCs w:val="21"/>
        </w:rPr>
        <w:t>工程造价原理</w:t>
      </w:r>
      <w:r>
        <w:rPr>
          <w:rFonts w:hint="eastAsia"/>
          <w:szCs w:val="21"/>
          <w:lang w:eastAsia="zh-CN"/>
        </w:rPr>
        <w:t>、</w:t>
      </w:r>
      <w:r>
        <w:rPr>
          <w:rFonts w:hint="eastAsia"/>
          <w:szCs w:val="21"/>
        </w:rPr>
        <w:t>工程经济学</w:t>
      </w:r>
      <w:r>
        <w:rPr>
          <w:rFonts w:hint="eastAsia"/>
          <w:szCs w:val="21"/>
          <w:lang w:eastAsia="zh-CN"/>
        </w:rPr>
        <w:t>、</w:t>
      </w:r>
      <w:r>
        <w:rPr>
          <w:rFonts w:hint="eastAsia"/>
          <w:szCs w:val="21"/>
        </w:rPr>
        <w:t>建筑力学</w:t>
      </w:r>
      <w:r>
        <w:rPr>
          <w:rFonts w:hint="eastAsia"/>
          <w:szCs w:val="21"/>
          <w:lang w:eastAsia="zh-CN"/>
        </w:rPr>
        <w:t>。</w:t>
      </w:r>
    </w:p>
    <w:p>
      <w:pPr>
        <w:widowControl/>
        <w:numPr>
          <w:ilvl w:val="0"/>
          <w:numId w:val="1"/>
        </w:numPr>
        <w:adjustRightInd w:val="0"/>
        <w:snapToGrid w:val="0"/>
        <w:spacing w:line="360" w:lineRule="auto"/>
        <w:ind w:firstLine="420" w:firstLineChars="200"/>
        <w:jc w:val="left"/>
        <w:rPr>
          <w:rFonts w:hint="eastAsia" w:ascii="宋体" w:hAnsi="宋体"/>
          <w:bCs/>
          <w:szCs w:val="21"/>
        </w:rPr>
      </w:pPr>
      <w:r>
        <w:rPr>
          <w:rFonts w:hint="eastAsia" w:ascii="宋体" w:hAnsi="宋体"/>
          <w:bCs/>
          <w:szCs w:val="21"/>
        </w:rPr>
        <w:t>专业课程：建筑工程计量与计价*</w:t>
      </w:r>
      <w:r>
        <w:rPr>
          <w:rFonts w:hint="eastAsia" w:ascii="宋体" w:hAnsi="宋体"/>
          <w:bCs/>
          <w:szCs w:val="21"/>
          <w:lang w:eastAsia="zh-CN"/>
        </w:rPr>
        <w:t>、</w:t>
      </w:r>
      <w:r>
        <w:rPr>
          <w:rFonts w:hint="eastAsia" w:ascii="宋体" w:hAnsi="宋体"/>
          <w:bCs/>
          <w:szCs w:val="21"/>
        </w:rPr>
        <w:t>平法识图与钢筋算量*</w:t>
      </w:r>
      <w:r>
        <w:rPr>
          <w:rFonts w:hint="eastAsia" w:ascii="宋体" w:hAnsi="宋体"/>
          <w:bCs/>
          <w:szCs w:val="21"/>
          <w:lang w:eastAsia="zh-CN"/>
        </w:rPr>
        <w:t>、</w:t>
      </w:r>
      <w:r>
        <w:rPr>
          <w:rFonts w:hint="eastAsia" w:ascii="宋体" w:hAnsi="宋体"/>
          <w:bCs/>
          <w:szCs w:val="21"/>
        </w:rPr>
        <w:t>工程量清单计价*</w:t>
      </w:r>
      <w:r>
        <w:rPr>
          <w:rFonts w:hint="eastAsia" w:ascii="宋体" w:hAnsi="宋体"/>
          <w:bCs/>
          <w:szCs w:val="21"/>
          <w:lang w:eastAsia="zh-CN"/>
        </w:rPr>
        <w:t>、</w:t>
      </w:r>
      <w:r>
        <w:rPr>
          <w:rFonts w:hint="eastAsia" w:ascii="宋体" w:hAnsi="宋体"/>
          <w:bCs/>
          <w:szCs w:val="21"/>
        </w:rPr>
        <w:t>建筑法规</w:t>
      </w:r>
      <w:r>
        <w:rPr>
          <w:rFonts w:hint="eastAsia" w:ascii="宋体" w:hAnsi="宋体"/>
          <w:bCs/>
          <w:szCs w:val="21"/>
          <w:lang w:eastAsia="zh-CN"/>
        </w:rPr>
        <w:t>、</w:t>
      </w:r>
      <w:r>
        <w:rPr>
          <w:rFonts w:hint="eastAsia" w:ascii="宋体" w:hAnsi="宋体"/>
          <w:bCs/>
          <w:szCs w:val="21"/>
        </w:rPr>
        <w:t>工程结算</w:t>
      </w:r>
      <w:r>
        <w:rPr>
          <w:rFonts w:hint="eastAsia" w:ascii="宋体" w:hAnsi="宋体"/>
          <w:bCs/>
          <w:szCs w:val="21"/>
          <w:lang w:eastAsia="zh-CN"/>
        </w:rPr>
        <w:t>、</w:t>
      </w:r>
      <w:r>
        <w:rPr>
          <w:rFonts w:hint="eastAsia" w:ascii="宋体" w:hAnsi="宋体"/>
          <w:bCs/>
          <w:szCs w:val="21"/>
        </w:rPr>
        <w:t>建筑工程预算*</w:t>
      </w:r>
      <w:r>
        <w:rPr>
          <w:rFonts w:hint="eastAsia" w:ascii="宋体" w:hAnsi="宋体"/>
          <w:bCs/>
          <w:szCs w:val="21"/>
          <w:lang w:eastAsia="zh-CN"/>
        </w:rPr>
        <w:t>、</w:t>
      </w:r>
      <w:r>
        <w:rPr>
          <w:rFonts w:hint="eastAsia" w:ascii="宋体" w:hAnsi="宋体"/>
          <w:bCs/>
          <w:szCs w:val="21"/>
        </w:rPr>
        <w:t>工程造价控制*</w:t>
      </w:r>
      <w:r>
        <w:rPr>
          <w:rFonts w:hint="eastAsia" w:ascii="宋体" w:hAnsi="宋体"/>
          <w:bCs/>
          <w:szCs w:val="21"/>
          <w:lang w:eastAsia="zh-CN"/>
        </w:rPr>
        <w:t>。</w:t>
      </w:r>
    </w:p>
    <w:p>
      <w:pPr>
        <w:widowControl/>
        <w:numPr>
          <w:ilvl w:val="0"/>
          <w:numId w:val="1"/>
        </w:numPr>
        <w:adjustRightInd w:val="0"/>
        <w:snapToGrid w:val="0"/>
        <w:spacing w:line="360" w:lineRule="auto"/>
        <w:ind w:firstLine="420" w:firstLineChars="200"/>
        <w:jc w:val="left"/>
        <w:rPr>
          <w:rFonts w:ascii="宋体" w:hAnsi="宋体"/>
          <w:bCs/>
          <w:szCs w:val="21"/>
        </w:rPr>
      </w:pPr>
      <w:r>
        <w:rPr>
          <w:rFonts w:hint="eastAsia" w:ascii="宋体" w:hAnsi="宋体"/>
          <w:szCs w:val="21"/>
        </w:rPr>
        <w:t>实践性教学环节主要包括校内实训、建筑企业见习、跟岗实习、顶岗实习、毕业实习等。依据国家发布的有关专业顶岗实习标准，严格执行《云南三鑫职业技术学院学生实习管理规定》有关要求，组织好实训、跟岗实习和顶岗实习</w:t>
      </w:r>
    </w:p>
    <w:p>
      <w:pPr>
        <w:spacing w:line="360" w:lineRule="auto"/>
        <w:ind w:firstLine="495"/>
        <w:rPr>
          <w:rFonts w:ascii="宋体" w:hAnsi="宋体" w:cs="宋体"/>
          <w:b/>
          <w:bCs/>
          <w:szCs w:val="21"/>
        </w:rPr>
      </w:pPr>
      <w:r>
        <w:rPr>
          <w:rFonts w:hint="eastAsia" w:ascii="宋体" w:hAnsi="宋体" w:cs="宋体"/>
          <w:b/>
          <w:bCs/>
          <w:szCs w:val="21"/>
        </w:rPr>
        <w:t>（四）素质拓展课</w:t>
      </w:r>
    </w:p>
    <w:p>
      <w:pPr>
        <w:spacing w:line="360" w:lineRule="auto"/>
        <w:ind w:firstLine="420" w:firstLineChars="200"/>
        <w:rPr>
          <w:rFonts w:ascii="宋体" w:hAnsi="宋体" w:cs="宋体"/>
          <w:szCs w:val="21"/>
        </w:rPr>
      </w:pPr>
      <w:r>
        <w:rPr>
          <w:rFonts w:hint="eastAsia" w:ascii="宋体" w:hAnsi="宋体" w:cs="宋体"/>
          <w:szCs w:val="21"/>
        </w:rPr>
        <w:t>以</w:t>
      </w:r>
      <w:r>
        <w:rPr>
          <w:rFonts w:hint="eastAsia" w:ascii="宋体" w:hAnsi="宋体" w:cs="宋体"/>
          <w:szCs w:val="21"/>
          <w:lang w:val="en-US" w:eastAsia="zh-CN"/>
        </w:rPr>
        <w:t>弘成科技发展有限</w:t>
      </w:r>
      <w:r>
        <w:rPr>
          <w:rFonts w:hint="eastAsia" w:ascii="宋体" w:hAnsi="宋体" w:cs="宋体"/>
          <w:szCs w:val="21"/>
        </w:rPr>
        <w:t>公司网络课程包（200门左右）的网络学习课程为主要拓展，促进综合素质发展。</w:t>
      </w:r>
    </w:p>
    <w:p>
      <w:pPr>
        <w:widowControl/>
        <w:adjustRightInd w:val="0"/>
        <w:snapToGrid w:val="0"/>
        <w:spacing w:line="360" w:lineRule="auto"/>
        <w:ind w:firstLine="632" w:firstLineChars="300"/>
        <w:jc w:val="left"/>
        <w:outlineLvl w:val="0"/>
        <w:rPr>
          <w:rFonts w:ascii="宋体" w:hAnsi="宋体" w:cs="宋体"/>
          <w:szCs w:val="21"/>
        </w:rPr>
      </w:pPr>
      <w:bookmarkStart w:id="11" w:name="_Toc3454"/>
      <w:r>
        <w:rPr>
          <w:rFonts w:hint="eastAsia" w:ascii="宋体" w:hAnsi="宋体" w:cs="宋体"/>
          <w:b/>
          <w:szCs w:val="21"/>
        </w:rPr>
        <w:t>九、主干课程描述</w:t>
      </w:r>
      <w:bookmarkEnd w:id="11"/>
      <w:r>
        <w:rPr>
          <w:rFonts w:hint="eastAsia" w:ascii="宋体" w:hAnsi="宋体" w:cs="宋体"/>
          <w:szCs w:val="21"/>
        </w:rPr>
        <w:t xml:space="preserve"> </w:t>
      </w:r>
    </w:p>
    <w:p>
      <w:pPr>
        <w:spacing w:line="360" w:lineRule="auto"/>
        <w:ind w:firstLine="394" w:firstLineChars="187"/>
        <w:rPr>
          <w:rFonts w:ascii="宋体" w:hAnsi="宋体"/>
          <w:b/>
          <w:color w:val="000000" w:themeColor="text1"/>
          <w:szCs w:val="21"/>
        </w:rPr>
      </w:pPr>
      <w:r>
        <w:rPr>
          <w:rFonts w:hint="eastAsia" w:ascii="宋体" w:hAnsi="宋体"/>
          <w:b/>
          <w:color w:val="000000" w:themeColor="text1"/>
          <w:szCs w:val="21"/>
        </w:rPr>
        <w:t>1、建筑制图与识图</w:t>
      </w:r>
    </w:p>
    <w:p>
      <w:pPr>
        <w:spacing w:line="360" w:lineRule="auto"/>
        <w:ind w:firstLine="392" w:firstLineChars="187"/>
        <w:rPr>
          <w:rFonts w:ascii="宋体" w:hAnsi="宋体"/>
          <w:bCs/>
          <w:color w:val="000000" w:themeColor="text1"/>
          <w:szCs w:val="21"/>
        </w:rPr>
      </w:pPr>
      <w:r>
        <w:rPr>
          <w:rFonts w:hint="eastAsia" w:ascii="宋体" w:hAnsi="宋体"/>
          <w:bCs/>
          <w:color w:val="000000" w:themeColor="text1"/>
          <w:szCs w:val="21"/>
        </w:rPr>
        <w:t>主要讲授画法几何、制图基础知识、轴测投影图，建筑施工图，结构施工图、钢筋图等，通过学习使学生掌握基本的制图标准、制图能力以及识图能力。</w:t>
      </w:r>
    </w:p>
    <w:p>
      <w:pPr>
        <w:spacing w:line="360" w:lineRule="auto"/>
        <w:ind w:firstLine="394" w:firstLineChars="187"/>
        <w:rPr>
          <w:rFonts w:ascii="宋体" w:hAnsi="宋体"/>
          <w:b/>
          <w:color w:val="000000" w:themeColor="text1"/>
          <w:szCs w:val="21"/>
        </w:rPr>
      </w:pPr>
      <w:r>
        <w:rPr>
          <w:rFonts w:hint="eastAsia" w:ascii="宋体" w:hAnsi="宋体"/>
          <w:b/>
          <w:color w:val="000000" w:themeColor="text1"/>
          <w:szCs w:val="21"/>
        </w:rPr>
        <w:t>2、建筑工程计量与计价</w:t>
      </w:r>
    </w:p>
    <w:p>
      <w:pPr>
        <w:spacing w:line="360" w:lineRule="auto"/>
        <w:ind w:firstLine="392" w:firstLineChars="187"/>
        <w:rPr>
          <w:rFonts w:hint="eastAsia" w:ascii="宋体" w:hAnsi="宋体"/>
          <w:bCs/>
          <w:color w:val="000000" w:themeColor="text1"/>
          <w:szCs w:val="21"/>
        </w:rPr>
      </w:pPr>
      <w:r>
        <w:rPr>
          <w:rFonts w:hint="eastAsia" w:ascii="宋体" w:hAnsi="宋体"/>
          <w:bCs/>
          <w:color w:val="000000" w:themeColor="text1"/>
          <w:szCs w:val="21"/>
        </w:rPr>
        <w:t>本课程讲授建筑工程计量与计价的编制方法，工程量的计算及计价手册的应用，施工图预算的编制原理及方法，人工、材料、机械台班的定额分析，施工图预算费用的构成及计算等内容。</w:t>
      </w:r>
    </w:p>
    <w:p>
      <w:pPr>
        <w:widowControl/>
        <w:adjustRightInd w:val="0"/>
        <w:snapToGrid w:val="0"/>
        <w:spacing w:line="360" w:lineRule="auto"/>
        <w:ind w:left="420" w:leftChars="200"/>
        <w:jc w:val="left"/>
        <w:rPr>
          <w:rFonts w:ascii="宋体" w:hAnsi="宋体" w:cs="宋体"/>
          <w:b/>
          <w:bCs/>
          <w:szCs w:val="21"/>
        </w:rPr>
      </w:pPr>
      <w:r>
        <w:rPr>
          <w:rFonts w:hint="eastAsia" w:ascii="宋体" w:hAnsi="宋体" w:cs="宋体"/>
          <w:b/>
          <w:bCs/>
          <w:szCs w:val="21"/>
          <w:lang w:val="en-US" w:eastAsia="zh-CN"/>
        </w:rPr>
        <w:t>3</w:t>
      </w:r>
      <w:r>
        <w:rPr>
          <w:rFonts w:hint="eastAsia" w:ascii="宋体" w:hAnsi="宋体" w:cs="宋体"/>
          <w:b/>
          <w:bCs/>
          <w:szCs w:val="21"/>
        </w:rPr>
        <w:t>、平法识图与钢筋算量</w:t>
      </w:r>
    </w:p>
    <w:p>
      <w:pPr>
        <w:spacing w:line="360" w:lineRule="auto"/>
        <w:ind w:firstLine="420" w:firstLineChars="200"/>
        <w:rPr>
          <w:rFonts w:hint="eastAsia" w:ascii="宋体" w:hAnsi="宋体"/>
          <w:bCs/>
          <w:color w:val="000000"/>
          <w:szCs w:val="21"/>
        </w:rPr>
      </w:pPr>
      <w:r>
        <w:rPr>
          <w:rFonts w:hint="eastAsia" w:ascii="宋体" w:hAnsi="宋体"/>
          <w:bCs/>
          <w:color w:val="000000"/>
          <w:szCs w:val="21"/>
        </w:rPr>
        <w:t>通过课程的学习，使学生了解平法的发展历程，熟悉平法图集的编制方法和表示方法，掌握平法图集的制图规则和构造详图方法和钢筋算量的基本思路，从而进一步理解设计人员的设计意图应用于施工。</w:t>
      </w:r>
    </w:p>
    <w:p>
      <w:pPr>
        <w:spacing w:line="360" w:lineRule="auto"/>
        <w:ind w:firstLine="394" w:firstLineChars="187"/>
        <w:rPr>
          <w:rFonts w:hint="default" w:ascii="宋体" w:hAnsi="宋体" w:eastAsia="宋体"/>
          <w:b/>
          <w:color w:val="000000" w:themeColor="text1"/>
          <w:szCs w:val="21"/>
          <w:lang w:val="en-US" w:eastAsia="zh-CN"/>
        </w:rPr>
      </w:pPr>
      <w:r>
        <w:rPr>
          <w:rFonts w:hint="eastAsia" w:ascii="宋体" w:hAnsi="宋体"/>
          <w:b/>
          <w:color w:val="000000" w:themeColor="text1"/>
          <w:szCs w:val="21"/>
          <w:lang w:val="en-US" w:eastAsia="zh-CN"/>
        </w:rPr>
        <w:t>4</w:t>
      </w:r>
      <w:r>
        <w:rPr>
          <w:rFonts w:hint="eastAsia" w:ascii="宋体" w:hAnsi="宋体"/>
          <w:b/>
          <w:color w:val="000000" w:themeColor="text1"/>
          <w:szCs w:val="21"/>
        </w:rPr>
        <w:t>、工程量</w:t>
      </w:r>
      <w:r>
        <w:rPr>
          <w:rFonts w:hint="eastAsia" w:ascii="宋体" w:hAnsi="宋体"/>
          <w:b/>
          <w:color w:val="000000" w:themeColor="text1"/>
          <w:szCs w:val="21"/>
          <w:lang w:val="en-US" w:eastAsia="zh-CN"/>
        </w:rPr>
        <w:t>清单计价</w:t>
      </w:r>
    </w:p>
    <w:p>
      <w:pPr>
        <w:spacing w:line="360" w:lineRule="auto"/>
        <w:ind w:firstLine="392" w:firstLineChars="187"/>
        <w:rPr>
          <w:rFonts w:hint="eastAsia" w:ascii="宋体" w:hAnsi="宋体"/>
          <w:bCs/>
          <w:color w:val="000000"/>
          <w:szCs w:val="21"/>
        </w:rPr>
      </w:pPr>
      <w:r>
        <w:rPr>
          <w:rFonts w:hint="eastAsia" w:ascii="宋体" w:hAnsi="宋体"/>
          <w:bCs/>
          <w:color w:val="000000" w:themeColor="text1"/>
          <w:szCs w:val="21"/>
        </w:rPr>
        <w:t>本课程讲授建筑工程计量与计价的编制方法，工程量的计算及计价手册的应用，施工图预算的编制原理及方法，人工、材料、机械台班的定额分析，施工图预算费用的构成及计算等内容。</w:t>
      </w:r>
    </w:p>
    <w:p>
      <w:pPr>
        <w:spacing w:line="360" w:lineRule="auto"/>
        <w:ind w:firstLine="394" w:firstLineChars="187"/>
        <w:rPr>
          <w:rFonts w:ascii="宋体" w:hAnsi="宋体"/>
          <w:b/>
          <w:color w:val="000000" w:themeColor="text1"/>
          <w:szCs w:val="21"/>
        </w:rPr>
      </w:pPr>
      <w:r>
        <w:rPr>
          <w:rFonts w:hint="eastAsia" w:ascii="宋体" w:hAnsi="宋体"/>
          <w:b/>
          <w:color w:val="000000" w:themeColor="text1"/>
          <w:szCs w:val="21"/>
          <w:lang w:val="en-US" w:eastAsia="zh-CN"/>
        </w:rPr>
        <w:t>5</w:t>
      </w:r>
      <w:r>
        <w:rPr>
          <w:rFonts w:hint="eastAsia" w:ascii="宋体" w:hAnsi="宋体"/>
          <w:b/>
          <w:color w:val="000000" w:themeColor="text1"/>
          <w:szCs w:val="21"/>
        </w:rPr>
        <w:t>、</w:t>
      </w:r>
      <w:r>
        <w:rPr>
          <w:rFonts w:hint="eastAsia" w:ascii="宋体" w:hAnsi="宋体" w:cs="宋体"/>
          <w:b/>
          <w:szCs w:val="21"/>
        </w:rPr>
        <w:t>建筑工程预算</w:t>
      </w:r>
    </w:p>
    <w:p>
      <w:pPr>
        <w:tabs>
          <w:tab w:val="left" w:pos="2880"/>
        </w:tabs>
        <w:spacing w:line="360" w:lineRule="auto"/>
        <w:ind w:firstLine="420" w:firstLineChars="200"/>
        <w:rPr>
          <w:rFonts w:hint="eastAsia" w:ascii="宋体" w:hAnsi="宋体" w:cs="宋体"/>
          <w:szCs w:val="21"/>
        </w:rPr>
      </w:pPr>
      <w:r>
        <w:rPr>
          <w:rFonts w:hint="eastAsia" w:ascii="宋体" w:hAnsi="宋体" w:cs="宋体"/>
          <w:szCs w:val="21"/>
        </w:rPr>
        <w:t>本课程主要讲授熟悉施工过程及其划分、工作时间及其划分的方法；掌握技术测定法；掌握人工定额、材料消耗定额、机械台班定额、企业定额、预算定额、概算定额编制方法。</w:t>
      </w:r>
    </w:p>
    <w:p>
      <w:pPr>
        <w:numPr>
          <w:ilvl w:val="0"/>
          <w:numId w:val="2"/>
        </w:numPr>
        <w:tabs>
          <w:tab w:val="left" w:pos="2880"/>
        </w:tabs>
        <w:spacing w:line="360" w:lineRule="auto"/>
        <w:ind w:firstLine="422" w:firstLineChars="200"/>
        <w:rPr>
          <w:rFonts w:hint="eastAsia" w:ascii="宋体" w:hAnsi="宋体"/>
          <w:b/>
          <w:bCs/>
          <w:szCs w:val="21"/>
        </w:rPr>
      </w:pPr>
      <w:r>
        <w:rPr>
          <w:rFonts w:hint="eastAsia" w:ascii="宋体" w:hAnsi="宋体"/>
          <w:b/>
          <w:bCs/>
          <w:szCs w:val="21"/>
        </w:rPr>
        <w:t>工程造价控制</w:t>
      </w:r>
    </w:p>
    <w:p>
      <w:pPr>
        <w:tabs>
          <w:tab w:val="left" w:pos="2880"/>
        </w:tabs>
        <w:spacing w:line="360" w:lineRule="auto"/>
        <w:ind w:firstLine="420" w:firstLineChars="200"/>
        <w:rPr>
          <w:rFonts w:hint="eastAsia" w:ascii="宋体" w:hAnsi="宋体"/>
          <w:b/>
          <w:bCs/>
          <w:szCs w:val="21"/>
          <w:lang w:val="en-US" w:eastAsia="zh-CN"/>
        </w:rPr>
      </w:pPr>
      <w:r>
        <w:rPr>
          <w:rFonts w:hint="eastAsia" w:ascii="宋体" w:hAnsi="宋体" w:cs="宋体"/>
          <w:szCs w:val="21"/>
        </w:rPr>
        <w:t>《工程造价控制（全过程）》这门课程是工程造价专业的核心课程，也是一门综合性和应用性很强的课程。工程造价控制在微观层次上，是生产企业在掌握市场价格信息的基础上，为实现管理目标而进行的成本控制、计价、定价和竞价的系统活动。在宏观层次上，是政府根据社会经济的要求，利用法律手段、经济手段和行政手段对价格进行管理和调控，以及通过市场管理规范市场主体价格行为的系统活动。</w:t>
      </w:r>
    </w:p>
    <w:p>
      <w:pPr>
        <w:spacing w:line="360" w:lineRule="auto"/>
        <w:ind w:firstLine="422" w:firstLineChars="200"/>
        <w:outlineLvl w:val="0"/>
        <w:rPr>
          <w:rFonts w:ascii="宋体" w:hAnsi="宋体" w:cs="宋体"/>
          <w:b/>
          <w:bCs/>
          <w:szCs w:val="21"/>
        </w:rPr>
      </w:pPr>
      <w:bookmarkStart w:id="12" w:name="_Toc8450"/>
      <w:r>
        <w:rPr>
          <w:rFonts w:hint="eastAsia" w:ascii="宋体" w:hAnsi="宋体" w:cs="宋体"/>
          <w:b/>
          <w:bCs/>
          <w:szCs w:val="21"/>
        </w:rPr>
        <w:t>十、实践教学条件</w:t>
      </w:r>
      <w:bookmarkEnd w:id="12"/>
    </w:p>
    <w:p>
      <w:pPr>
        <w:spacing w:line="360" w:lineRule="auto"/>
        <w:ind w:firstLine="394" w:firstLineChars="187"/>
        <w:rPr>
          <w:rFonts w:ascii="宋体" w:hAnsi="宋体" w:cs="宋体"/>
          <w:b/>
          <w:bCs/>
          <w:szCs w:val="21"/>
        </w:rPr>
      </w:pPr>
      <w:r>
        <w:rPr>
          <w:rFonts w:hint="eastAsia" w:ascii="宋体" w:hAnsi="宋体" w:cs="宋体"/>
          <w:b/>
          <w:bCs/>
          <w:szCs w:val="21"/>
        </w:rPr>
        <w:t>（一）校内实训基地</w:t>
      </w:r>
    </w:p>
    <w:p>
      <w:pPr>
        <w:spacing w:line="360" w:lineRule="auto"/>
        <w:ind w:firstLine="392" w:firstLineChars="187"/>
        <w:rPr>
          <w:rFonts w:ascii="宋体" w:hAnsi="宋体" w:cs="宋体"/>
          <w:szCs w:val="21"/>
        </w:rPr>
      </w:pPr>
      <w:r>
        <w:rPr>
          <w:rFonts w:hint="eastAsia" w:ascii="宋体" w:hAnsi="宋体" w:cs="宋体"/>
          <w:szCs w:val="21"/>
        </w:rPr>
        <w:t>建筑工程管理专业校内实训基地包括建筑工程测量实训室、沙盘实训室、建筑材料实训室等组成，具体如下表所示。</w:t>
      </w:r>
    </w:p>
    <w:p>
      <w:pPr>
        <w:jc w:val="center"/>
        <w:rPr>
          <w:rFonts w:ascii="宋体" w:hAnsi="宋体" w:cs="宋体"/>
          <w:szCs w:val="21"/>
        </w:rPr>
      </w:pPr>
      <w:r>
        <w:rPr>
          <w:rFonts w:hint="eastAsia" w:ascii="宋体" w:hAnsi="宋体" w:cs="宋体"/>
          <w:szCs w:val="21"/>
        </w:rPr>
        <w:t>校内实训基地一览表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1006"/>
        <w:gridCol w:w="3104"/>
        <w:gridCol w:w="4412"/>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c>
          <w:tcPr>
            <w:tcW w:w="1006" w:type="dxa"/>
            <w:tcBorders>
              <w:top w:val="single" w:color="auto" w:sz="4" w:space="0"/>
              <w:bottom w:val="single" w:color="auto" w:sz="8" w:space="0"/>
            </w:tcBorders>
            <w:shd w:val="clear" w:color="auto" w:fill="FFFF99"/>
            <w:vAlign w:val="center"/>
          </w:tcPr>
          <w:p>
            <w:pPr>
              <w:jc w:val="center"/>
              <w:rPr>
                <w:rFonts w:ascii="宋体" w:hAnsi="宋体" w:cs="宋体"/>
                <w:szCs w:val="21"/>
              </w:rPr>
            </w:pPr>
            <w:r>
              <w:rPr>
                <w:rFonts w:hint="eastAsia" w:ascii="宋体" w:hAnsi="宋体" w:cs="宋体"/>
                <w:szCs w:val="21"/>
              </w:rPr>
              <w:t>序号</w:t>
            </w:r>
          </w:p>
        </w:tc>
        <w:tc>
          <w:tcPr>
            <w:tcW w:w="3104" w:type="dxa"/>
            <w:tcBorders>
              <w:top w:val="single" w:color="auto" w:sz="4" w:space="0"/>
              <w:bottom w:val="single" w:color="auto" w:sz="8" w:space="0"/>
            </w:tcBorders>
            <w:shd w:val="clear" w:color="auto" w:fill="FFFF99"/>
            <w:vAlign w:val="center"/>
          </w:tcPr>
          <w:p>
            <w:pPr>
              <w:jc w:val="center"/>
              <w:rPr>
                <w:rFonts w:ascii="宋体" w:hAnsi="宋体" w:cs="宋体"/>
                <w:szCs w:val="21"/>
              </w:rPr>
            </w:pPr>
            <w:r>
              <w:rPr>
                <w:rFonts w:hint="eastAsia" w:ascii="宋体" w:hAnsi="宋体" w:cs="宋体"/>
                <w:szCs w:val="21"/>
              </w:rPr>
              <w:t>专业教室名称</w:t>
            </w:r>
          </w:p>
        </w:tc>
        <w:tc>
          <w:tcPr>
            <w:tcW w:w="4412" w:type="dxa"/>
            <w:tcBorders>
              <w:top w:val="single" w:color="auto" w:sz="4" w:space="0"/>
              <w:bottom w:val="single" w:color="auto" w:sz="8" w:space="0"/>
            </w:tcBorders>
            <w:shd w:val="clear" w:color="auto" w:fill="FFFF99"/>
            <w:vAlign w:val="center"/>
          </w:tcPr>
          <w:p>
            <w:pPr>
              <w:jc w:val="center"/>
              <w:rPr>
                <w:rFonts w:ascii="宋体" w:hAnsi="宋体" w:cs="宋体"/>
                <w:szCs w:val="21"/>
              </w:rPr>
            </w:pPr>
            <w:r>
              <w:rPr>
                <w:rFonts w:hint="eastAsia" w:ascii="宋体" w:hAnsi="宋体" w:cs="宋体"/>
                <w:szCs w:val="21"/>
              </w:rPr>
              <w:t>主要设备及说明</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c>
          <w:tcPr>
            <w:tcW w:w="1006" w:type="dxa"/>
            <w:tcBorders>
              <w:top w:val="single" w:color="auto" w:sz="8" w:space="0"/>
            </w:tcBorders>
            <w:vAlign w:val="center"/>
          </w:tcPr>
          <w:p>
            <w:pPr>
              <w:jc w:val="center"/>
              <w:rPr>
                <w:rFonts w:ascii="宋体" w:hAnsi="宋体" w:cs="宋体"/>
                <w:szCs w:val="21"/>
              </w:rPr>
            </w:pPr>
            <w:r>
              <w:rPr>
                <w:rFonts w:hint="eastAsia" w:ascii="宋体" w:hAnsi="宋体" w:cs="宋体"/>
                <w:szCs w:val="21"/>
              </w:rPr>
              <w:t>1</w:t>
            </w:r>
          </w:p>
        </w:tc>
        <w:tc>
          <w:tcPr>
            <w:tcW w:w="3104" w:type="dxa"/>
            <w:tcBorders>
              <w:top w:val="single" w:color="auto" w:sz="8" w:space="0"/>
            </w:tcBorders>
            <w:vAlign w:val="center"/>
          </w:tcPr>
          <w:p>
            <w:pPr>
              <w:rPr>
                <w:rFonts w:ascii="宋体" w:hAnsi="宋体" w:cs="宋体"/>
                <w:szCs w:val="21"/>
              </w:rPr>
            </w:pPr>
            <w:r>
              <w:rPr>
                <w:rFonts w:hint="eastAsia" w:ascii="宋体" w:hAnsi="宋体" w:cs="宋体"/>
                <w:szCs w:val="21"/>
              </w:rPr>
              <w:t>建筑工程测量实训室</w:t>
            </w:r>
          </w:p>
        </w:tc>
        <w:tc>
          <w:tcPr>
            <w:tcW w:w="4412" w:type="dxa"/>
            <w:tcBorders>
              <w:top w:val="single" w:color="auto" w:sz="8" w:space="0"/>
            </w:tcBorders>
            <w:vAlign w:val="center"/>
          </w:tcPr>
          <w:p>
            <w:pPr>
              <w:rPr>
                <w:rFonts w:ascii="宋体" w:hAnsi="宋体" w:cs="宋体"/>
                <w:szCs w:val="21"/>
              </w:rPr>
            </w:pPr>
            <w:r>
              <w:rPr>
                <w:rFonts w:hint="eastAsia" w:ascii="宋体" w:hAnsi="宋体" w:cs="宋体"/>
                <w:szCs w:val="21"/>
              </w:rPr>
              <w:t>水准仪10套、经纬仪套10、全站仪10套</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c>
          <w:tcPr>
            <w:tcW w:w="1006" w:type="dxa"/>
            <w:vAlign w:val="center"/>
          </w:tcPr>
          <w:p>
            <w:pPr>
              <w:jc w:val="center"/>
              <w:rPr>
                <w:rFonts w:ascii="宋体" w:hAnsi="宋体" w:cs="宋体"/>
                <w:szCs w:val="21"/>
              </w:rPr>
            </w:pPr>
            <w:r>
              <w:rPr>
                <w:rFonts w:hint="eastAsia" w:ascii="宋体" w:hAnsi="宋体" w:cs="宋体"/>
                <w:szCs w:val="21"/>
              </w:rPr>
              <w:t>2</w:t>
            </w:r>
          </w:p>
        </w:tc>
        <w:tc>
          <w:tcPr>
            <w:tcW w:w="3104" w:type="dxa"/>
            <w:vAlign w:val="center"/>
          </w:tcPr>
          <w:p>
            <w:pPr>
              <w:rPr>
                <w:rFonts w:ascii="宋体" w:hAnsi="宋体" w:cs="宋体"/>
                <w:szCs w:val="21"/>
              </w:rPr>
            </w:pPr>
            <w:r>
              <w:rPr>
                <w:rFonts w:hint="eastAsia" w:ascii="宋体" w:hAnsi="宋体" w:cs="宋体"/>
                <w:szCs w:val="21"/>
              </w:rPr>
              <w:t>造价电算化实训室</w:t>
            </w:r>
          </w:p>
        </w:tc>
        <w:tc>
          <w:tcPr>
            <w:tcW w:w="4412" w:type="dxa"/>
            <w:vAlign w:val="center"/>
          </w:tcPr>
          <w:p>
            <w:pPr>
              <w:rPr>
                <w:rFonts w:ascii="宋体" w:hAnsi="宋体" w:cs="宋体"/>
                <w:szCs w:val="21"/>
              </w:rPr>
            </w:pPr>
            <w:r>
              <w:rPr>
                <w:rFonts w:hint="eastAsia" w:ascii="宋体" w:hAnsi="宋体" w:cs="宋体"/>
                <w:szCs w:val="21"/>
              </w:rPr>
              <w:t>广联达造价软件30套</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c>
          <w:tcPr>
            <w:tcW w:w="1006" w:type="dxa"/>
            <w:vAlign w:val="center"/>
          </w:tcPr>
          <w:p>
            <w:pPr>
              <w:jc w:val="center"/>
              <w:rPr>
                <w:rFonts w:ascii="宋体" w:hAnsi="宋体" w:cs="宋体"/>
                <w:szCs w:val="21"/>
              </w:rPr>
            </w:pPr>
            <w:r>
              <w:rPr>
                <w:rFonts w:hint="eastAsia" w:ascii="宋体" w:hAnsi="宋体" w:cs="宋体"/>
                <w:szCs w:val="21"/>
              </w:rPr>
              <w:t>3</w:t>
            </w:r>
          </w:p>
        </w:tc>
        <w:tc>
          <w:tcPr>
            <w:tcW w:w="3104" w:type="dxa"/>
            <w:vAlign w:val="center"/>
          </w:tcPr>
          <w:p>
            <w:pPr>
              <w:rPr>
                <w:rFonts w:ascii="宋体" w:hAnsi="宋体" w:cs="宋体"/>
                <w:szCs w:val="21"/>
              </w:rPr>
            </w:pPr>
            <w:r>
              <w:rPr>
                <w:rFonts w:hint="eastAsia" w:ascii="宋体" w:hAnsi="宋体" w:cs="宋体"/>
                <w:szCs w:val="21"/>
              </w:rPr>
              <w:t>建筑材料实训室</w:t>
            </w:r>
          </w:p>
        </w:tc>
        <w:tc>
          <w:tcPr>
            <w:tcW w:w="4412" w:type="dxa"/>
            <w:vAlign w:val="center"/>
          </w:tcPr>
          <w:p>
            <w:pPr>
              <w:rPr>
                <w:rFonts w:ascii="宋体" w:hAnsi="宋体" w:cs="宋体"/>
                <w:szCs w:val="21"/>
              </w:rPr>
            </w:pPr>
            <w:r>
              <w:rPr>
                <w:rFonts w:hint="eastAsia" w:ascii="宋体" w:hAnsi="宋体" w:cs="宋体"/>
                <w:szCs w:val="21"/>
              </w:rPr>
              <w:t>压强机、砂浆搅拌机等</w:t>
            </w:r>
          </w:p>
        </w:tc>
      </w:tr>
    </w:tbl>
    <w:p>
      <w:pPr>
        <w:spacing w:line="360" w:lineRule="auto"/>
        <w:ind w:firstLine="422" w:firstLineChars="200"/>
        <w:rPr>
          <w:rFonts w:ascii="宋体" w:hAnsi="宋体" w:cs="宋体"/>
          <w:b/>
          <w:bCs/>
          <w:szCs w:val="21"/>
        </w:rPr>
      </w:pPr>
      <w:r>
        <w:rPr>
          <w:rFonts w:hint="eastAsia" w:ascii="宋体" w:hAnsi="宋体" w:cs="宋体"/>
          <w:b/>
          <w:bCs/>
          <w:szCs w:val="21"/>
        </w:rPr>
        <w:t>（二）校外实训基地</w:t>
      </w:r>
    </w:p>
    <w:p>
      <w:pPr>
        <w:adjustRightInd w:val="0"/>
        <w:snapToGrid w:val="0"/>
        <w:spacing w:line="360" w:lineRule="auto"/>
        <w:ind w:firstLine="392" w:firstLineChars="187"/>
        <w:rPr>
          <w:rFonts w:ascii="宋体" w:hAnsi="宋体" w:cs="宋体"/>
          <w:szCs w:val="21"/>
        </w:rPr>
      </w:pPr>
      <w:r>
        <w:rPr>
          <w:rFonts w:hint="eastAsia" w:ascii="宋体" w:hAnsi="宋体" w:cs="宋体"/>
          <w:szCs w:val="21"/>
        </w:rPr>
        <w:t>校外实践基地是课外实践教学的载体和平台，其建设程度直接关系到实践教学的实施效果和质量。</w:t>
      </w:r>
      <w:r>
        <w:rPr>
          <w:rFonts w:hint="eastAsia" w:ascii="宋体" w:hAnsi="宋体"/>
          <w:bCs/>
          <w:szCs w:val="21"/>
        </w:rPr>
        <w:t>三鑫集团建筑公司、设计院、房地产开发商、建筑工程质量检测站等建筑工程公司，保障岗位技能的实习，包括建筑工程造价岗位群、监理岗位群、管理检测岗位群、设计岗位等，可以提供专业初步认识实习、顶岗实习、技能培训等实践教学保障。</w:t>
      </w:r>
      <w:r>
        <w:rPr>
          <w:rFonts w:hint="eastAsia" w:ascii="宋体" w:hAnsi="宋体" w:cs="宋体"/>
          <w:szCs w:val="21"/>
        </w:rPr>
        <w:t>这些校外实习基地的建立为专业实践教学提供了较好的实践教学条件，学生在校外基地跟岗、顶岗实习，有效实现“学生—学员—员工”的角色转化，为学生毕业就业走向社会打下坚实的基础。</w:t>
      </w:r>
    </w:p>
    <w:p>
      <w:pPr>
        <w:spacing w:line="360" w:lineRule="auto"/>
        <w:ind w:firstLine="413" w:firstLineChars="196"/>
        <w:outlineLvl w:val="0"/>
        <w:rPr>
          <w:b/>
          <w:szCs w:val="21"/>
        </w:rPr>
      </w:pPr>
      <w:bookmarkStart w:id="13" w:name="_Toc30300"/>
      <w:r>
        <w:rPr>
          <w:rFonts w:hint="eastAsia"/>
          <w:b/>
          <w:szCs w:val="21"/>
        </w:rPr>
        <w:t>十一、考核方式及要求</w:t>
      </w:r>
      <w:bookmarkEnd w:id="13"/>
    </w:p>
    <w:p>
      <w:pPr>
        <w:spacing w:line="360" w:lineRule="auto"/>
        <w:ind w:firstLine="420" w:firstLineChars="200"/>
        <w:rPr>
          <w:rFonts w:ascii="宋体" w:hAnsi="宋体"/>
          <w:color w:val="000000"/>
          <w:szCs w:val="21"/>
        </w:rPr>
      </w:pPr>
      <w:r>
        <w:rPr>
          <w:rFonts w:hint="eastAsia" w:ascii="宋体" w:hAnsi="宋体"/>
          <w:color w:val="000000"/>
          <w:szCs w:val="21"/>
        </w:rPr>
        <w:t>对学生的学业考核评价内容应兼顾认知、技能、情感等方面，课程考核方式采用多种形式、多元化评价，如观察、口试、笔试、顶岗操作、职业技能大赛、职业资格鉴定等评价、评定方式。采用学习过程和学习态度相结合的原则进行考核，学习结果评价，将各个阶段的考核成绩和学习态度考核成绩按一定比例作为课程的总成绩。</w:t>
      </w:r>
    </w:p>
    <w:p>
      <w:pPr>
        <w:spacing w:line="360" w:lineRule="auto"/>
        <w:ind w:firstLine="420" w:firstLineChars="200"/>
        <w:rPr>
          <w:rFonts w:ascii="宋体" w:hAnsi="宋体"/>
          <w:color w:val="000000"/>
          <w:szCs w:val="21"/>
        </w:rPr>
      </w:pPr>
      <w:r>
        <w:rPr>
          <w:rFonts w:hint="eastAsia" w:ascii="宋体" w:hAnsi="宋体"/>
          <w:color w:val="000000"/>
          <w:szCs w:val="21"/>
        </w:rPr>
        <w:t>思想政治理论课、专业主干核心课程等应以闭卷考试考核为主。</w:t>
      </w:r>
    </w:p>
    <w:p>
      <w:pPr>
        <w:spacing w:line="360" w:lineRule="auto"/>
        <w:ind w:firstLine="420" w:firstLineChars="200"/>
        <w:rPr>
          <w:rFonts w:ascii="宋体" w:hAnsi="宋体" w:cs="宋体"/>
          <w:szCs w:val="21"/>
        </w:rPr>
      </w:pPr>
      <w:r>
        <w:rPr>
          <w:rFonts w:hint="eastAsia" w:ascii="宋体" w:hAnsi="宋体" w:cs="宋体"/>
          <w:szCs w:val="21"/>
        </w:rPr>
        <w:t>课程成绩考核，重点考核学生完成职业能力训练项目、实现课程目标的状况和程度，以及学习过程中的主观表现。强化实际操作和学习过程考核。</w:t>
      </w:r>
    </w:p>
    <w:p>
      <w:pPr>
        <w:spacing w:line="360" w:lineRule="auto"/>
        <w:ind w:firstLine="420" w:firstLineChars="200"/>
        <w:rPr>
          <w:rFonts w:ascii="宋体" w:hAnsi="宋体" w:cs="宋体"/>
          <w:szCs w:val="21"/>
        </w:rPr>
      </w:pPr>
      <w:r>
        <w:rPr>
          <w:rFonts w:hint="eastAsia" w:ascii="宋体" w:hAnsi="宋体" w:cs="宋体"/>
          <w:szCs w:val="21"/>
        </w:rPr>
        <w:t>专业课程建立过程考评（任务考评）与期末考评（应知和应会考评）相结合的方式，强调过程考评的重要性（每学期不少于3次）：平时表现占10%，素质考评占10%；实操考评占30%。期末考试占50%（采取闭卷考试和应会操作考评）。</w:t>
      </w:r>
    </w:p>
    <w:p>
      <w:pPr>
        <w:spacing w:line="360" w:lineRule="auto"/>
        <w:ind w:firstLine="420" w:firstLineChars="200"/>
        <w:rPr>
          <w:rFonts w:ascii="宋体" w:hAnsi="宋体" w:cs="宋体"/>
          <w:szCs w:val="21"/>
        </w:rPr>
      </w:pPr>
      <w:r>
        <w:rPr>
          <w:rFonts w:hint="eastAsia" w:ascii="宋体" w:hAnsi="宋体" w:cs="宋体"/>
          <w:szCs w:val="21"/>
        </w:rPr>
        <w:t>实践课程采取过程考评（任务考评）的考核评价方式。</w:t>
      </w:r>
    </w:p>
    <w:p>
      <w:pPr>
        <w:spacing w:line="360" w:lineRule="auto"/>
        <w:jc w:val="center"/>
        <w:rPr>
          <w:rFonts w:ascii="宋体" w:hAnsi="宋体" w:cs="宋体"/>
          <w:szCs w:val="21"/>
        </w:rPr>
      </w:pPr>
      <w:r>
        <w:rPr>
          <w:rFonts w:hint="eastAsia" w:ascii="宋体" w:hAnsi="宋体" w:cs="宋体"/>
          <w:szCs w:val="21"/>
        </w:rPr>
        <w:t>专业课程考评实施措施及考评标准</w:t>
      </w:r>
    </w:p>
    <w:tbl>
      <w:tblPr>
        <w:tblStyle w:val="7"/>
        <w:tblW w:w="836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6"/>
        <w:gridCol w:w="1460"/>
        <w:gridCol w:w="1793"/>
        <w:gridCol w:w="1857"/>
        <w:gridCol w:w="1220"/>
        <w:gridCol w:w="13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636" w:type="dxa"/>
            <w:vMerge w:val="restart"/>
            <w:tcBorders>
              <w:top w:val="single" w:color="auto" w:sz="12" w:space="0"/>
              <w:bottom w:val="single" w:color="auto" w:sz="6" w:space="0"/>
            </w:tcBorders>
            <w:shd w:val="clear" w:color="auto" w:fill="FFFF99"/>
            <w:vAlign w:val="center"/>
          </w:tcPr>
          <w:p>
            <w:pPr>
              <w:jc w:val="center"/>
              <w:rPr>
                <w:rFonts w:ascii="宋体" w:hAnsi="宋体" w:cs="宋体"/>
                <w:szCs w:val="21"/>
              </w:rPr>
            </w:pPr>
            <w:r>
              <w:rPr>
                <w:rFonts w:hint="eastAsia" w:ascii="宋体" w:hAnsi="宋体" w:cs="宋体"/>
                <w:szCs w:val="21"/>
              </w:rPr>
              <w:t>考评方式</w:t>
            </w:r>
          </w:p>
        </w:tc>
        <w:tc>
          <w:tcPr>
            <w:tcW w:w="5110" w:type="dxa"/>
            <w:gridSpan w:val="3"/>
            <w:tcBorders>
              <w:top w:val="single" w:color="auto" w:sz="12" w:space="0"/>
              <w:bottom w:val="single" w:color="auto" w:sz="6" w:space="0"/>
              <w:right w:val="single" w:color="auto" w:sz="4" w:space="0"/>
            </w:tcBorders>
            <w:shd w:val="clear" w:color="auto" w:fill="FFFF99"/>
            <w:vAlign w:val="center"/>
          </w:tcPr>
          <w:p>
            <w:pPr>
              <w:jc w:val="center"/>
              <w:rPr>
                <w:rFonts w:ascii="宋体" w:hAnsi="宋体" w:cs="宋体"/>
                <w:szCs w:val="21"/>
              </w:rPr>
            </w:pPr>
            <w:r>
              <w:rPr>
                <w:rFonts w:hint="eastAsia" w:ascii="宋体" w:hAnsi="宋体" w:cs="宋体"/>
                <w:szCs w:val="21"/>
              </w:rPr>
              <w:t>过程考评（项目考评）</w:t>
            </w:r>
          </w:p>
        </w:tc>
        <w:tc>
          <w:tcPr>
            <w:tcW w:w="2615" w:type="dxa"/>
            <w:gridSpan w:val="2"/>
            <w:tcBorders>
              <w:top w:val="single" w:color="auto" w:sz="12" w:space="0"/>
              <w:left w:val="single" w:color="auto" w:sz="4" w:space="0"/>
              <w:bottom w:val="single" w:color="auto" w:sz="6" w:space="0"/>
              <w:right w:val="single" w:color="auto" w:sz="4" w:space="0"/>
            </w:tcBorders>
            <w:shd w:val="clear" w:color="auto" w:fill="FFFF99"/>
            <w:vAlign w:val="center"/>
          </w:tcPr>
          <w:p>
            <w:pPr>
              <w:jc w:val="center"/>
              <w:rPr>
                <w:rFonts w:ascii="宋体" w:hAnsi="宋体" w:cs="宋体"/>
                <w:szCs w:val="21"/>
              </w:rPr>
            </w:pPr>
            <w:r>
              <w:rPr>
                <w:rFonts w:hint="eastAsia" w:ascii="宋体" w:hAnsi="宋体" w:cs="宋体"/>
                <w:szCs w:val="21"/>
              </w:rPr>
              <w:t>期末考评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8" w:hRule="atLeast"/>
          <w:jc w:val="center"/>
        </w:trPr>
        <w:tc>
          <w:tcPr>
            <w:tcW w:w="636" w:type="dxa"/>
            <w:vMerge w:val="continue"/>
            <w:tcBorders>
              <w:top w:val="single" w:color="auto" w:sz="6" w:space="0"/>
            </w:tcBorders>
            <w:shd w:val="clear" w:color="auto" w:fill="auto"/>
            <w:vAlign w:val="center"/>
          </w:tcPr>
          <w:p>
            <w:pPr>
              <w:jc w:val="center"/>
              <w:rPr>
                <w:rFonts w:ascii="宋体" w:hAnsi="宋体" w:cs="宋体"/>
                <w:szCs w:val="21"/>
              </w:rPr>
            </w:pPr>
          </w:p>
        </w:tc>
        <w:tc>
          <w:tcPr>
            <w:tcW w:w="1460" w:type="dxa"/>
            <w:tcBorders>
              <w:top w:val="single" w:color="auto" w:sz="6" w:space="0"/>
              <w:bottom w:val="single" w:color="auto" w:sz="6" w:space="0"/>
            </w:tcBorders>
            <w:shd w:val="clear" w:color="auto" w:fill="CCFFCC"/>
            <w:vAlign w:val="center"/>
          </w:tcPr>
          <w:p>
            <w:pPr>
              <w:jc w:val="center"/>
              <w:rPr>
                <w:rFonts w:ascii="宋体" w:hAnsi="宋体" w:cs="宋体"/>
                <w:szCs w:val="21"/>
              </w:rPr>
            </w:pPr>
            <w:r>
              <w:rPr>
                <w:rFonts w:hint="eastAsia" w:ascii="宋体" w:hAnsi="宋体" w:cs="宋体"/>
                <w:szCs w:val="21"/>
              </w:rPr>
              <w:t>平日表现</w:t>
            </w:r>
          </w:p>
        </w:tc>
        <w:tc>
          <w:tcPr>
            <w:tcW w:w="1793" w:type="dxa"/>
            <w:tcBorders>
              <w:top w:val="single" w:color="auto" w:sz="6" w:space="0"/>
              <w:bottom w:val="single" w:color="auto" w:sz="6" w:space="0"/>
            </w:tcBorders>
            <w:shd w:val="clear" w:color="auto" w:fill="CCFFCC"/>
            <w:vAlign w:val="center"/>
          </w:tcPr>
          <w:p>
            <w:pPr>
              <w:jc w:val="center"/>
              <w:rPr>
                <w:rFonts w:ascii="宋体" w:hAnsi="宋体" w:cs="宋体"/>
                <w:szCs w:val="21"/>
              </w:rPr>
            </w:pPr>
            <w:r>
              <w:rPr>
                <w:rFonts w:hint="eastAsia" w:ascii="宋体" w:hAnsi="宋体" w:cs="宋体"/>
                <w:szCs w:val="21"/>
              </w:rPr>
              <w:t>素质考评</w:t>
            </w:r>
          </w:p>
        </w:tc>
        <w:tc>
          <w:tcPr>
            <w:tcW w:w="1857" w:type="dxa"/>
            <w:tcBorders>
              <w:top w:val="single" w:color="auto" w:sz="6" w:space="0"/>
              <w:bottom w:val="single" w:color="auto" w:sz="6" w:space="0"/>
              <w:right w:val="single" w:color="auto" w:sz="4" w:space="0"/>
            </w:tcBorders>
            <w:shd w:val="clear" w:color="auto" w:fill="CCFFCC"/>
            <w:vAlign w:val="center"/>
          </w:tcPr>
          <w:p>
            <w:pPr>
              <w:jc w:val="center"/>
              <w:rPr>
                <w:rFonts w:ascii="宋体" w:hAnsi="宋体" w:cs="宋体"/>
                <w:szCs w:val="21"/>
              </w:rPr>
            </w:pPr>
            <w:r>
              <w:rPr>
                <w:rFonts w:hint="eastAsia" w:ascii="宋体" w:hAnsi="宋体" w:cs="宋体"/>
                <w:szCs w:val="21"/>
              </w:rPr>
              <w:t>实操考评</w:t>
            </w:r>
          </w:p>
        </w:tc>
        <w:tc>
          <w:tcPr>
            <w:tcW w:w="1220" w:type="dxa"/>
            <w:tcBorders>
              <w:top w:val="single" w:color="auto" w:sz="6" w:space="0"/>
              <w:left w:val="single" w:color="auto" w:sz="4" w:space="0"/>
              <w:bottom w:val="single" w:color="auto" w:sz="6" w:space="0"/>
            </w:tcBorders>
            <w:shd w:val="clear" w:color="auto" w:fill="FFCC99"/>
            <w:vAlign w:val="center"/>
          </w:tcPr>
          <w:p>
            <w:pPr>
              <w:jc w:val="center"/>
              <w:rPr>
                <w:rFonts w:ascii="宋体" w:hAnsi="宋体" w:cs="宋体"/>
                <w:szCs w:val="21"/>
              </w:rPr>
            </w:pPr>
            <w:r>
              <w:rPr>
                <w:rFonts w:hint="eastAsia" w:ascii="宋体" w:hAnsi="宋体" w:cs="宋体"/>
                <w:szCs w:val="21"/>
              </w:rPr>
              <w:t>应知考评</w:t>
            </w:r>
          </w:p>
        </w:tc>
        <w:tc>
          <w:tcPr>
            <w:tcW w:w="1395" w:type="dxa"/>
            <w:tcBorders>
              <w:top w:val="single" w:color="auto" w:sz="6" w:space="0"/>
              <w:bottom w:val="single" w:color="auto" w:sz="6" w:space="0"/>
              <w:right w:val="single" w:color="auto" w:sz="4" w:space="0"/>
            </w:tcBorders>
            <w:shd w:val="clear" w:color="auto" w:fill="FFCC99"/>
            <w:vAlign w:val="center"/>
          </w:tcPr>
          <w:p>
            <w:pPr>
              <w:jc w:val="center"/>
              <w:rPr>
                <w:rFonts w:ascii="宋体" w:hAnsi="宋体" w:cs="宋体"/>
                <w:szCs w:val="21"/>
              </w:rPr>
            </w:pPr>
            <w:r>
              <w:rPr>
                <w:rFonts w:hint="eastAsia" w:ascii="宋体" w:hAnsi="宋体" w:cs="宋体"/>
                <w:szCs w:val="21"/>
              </w:rPr>
              <w:t>应会考评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636" w:type="dxa"/>
            <w:vAlign w:val="center"/>
          </w:tcPr>
          <w:p>
            <w:pPr>
              <w:jc w:val="center"/>
              <w:rPr>
                <w:rFonts w:ascii="宋体" w:hAnsi="宋体" w:cs="宋体"/>
                <w:szCs w:val="21"/>
              </w:rPr>
            </w:pPr>
            <w:r>
              <w:rPr>
                <w:rFonts w:hint="eastAsia" w:ascii="宋体" w:hAnsi="宋体" w:cs="宋体"/>
                <w:szCs w:val="21"/>
              </w:rPr>
              <w:t>分值</w:t>
            </w:r>
          </w:p>
        </w:tc>
        <w:tc>
          <w:tcPr>
            <w:tcW w:w="1460" w:type="dxa"/>
            <w:tcBorders>
              <w:top w:val="single" w:color="auto" w:sz="6" w:space="0"/>
            </w:tcBorders>
            <w:vAlign w:val="center"/>
          </w:tcPr>
          <w:p>
            <w:pPr>
              <w:jc w:val="center"/>
              <w:rPr>
                <w:rFonts w:ascii="宋体" w:hAnsi="宋体" w:cs="宋体"/>
                <w:szCs w:val="21"/>
              </w:rPr>
            </w:pPr>
            <w:r>
              <w:rPr>
                <w:rFonts w:hint="eastAsia" w:ascii="宋体" w:hAnsi="宋体" w:cs="宋体"/>
                <w:szCs w:val="21"/>
              </w:rPr>
              <w:t>10分</w:t>
            </w:r>
          </w:p>
        </w:tc>
        <w:tc>
          <w:tcPr>
            <w:tcW w:w="1793" w:type="dxa"/>
            <w:tcBorders>
              <w:top w:val="single" w:color="auto" w:sz="6" w:space="0"/>
            </w:tcBorders>
            <w:vAlign w:val="center"/>
          </w:tcPr>
          <w:p>
            <w:pPr>
              <w:jc w:val="center"/>
              <w:rPr>
                <w:rFonts w:ascii="宋体" w:hAnsi="宋体" w:cs="宋体"/>
                <w:szCs w:val="21"/>
              </w:rPr>
            </w:pPr>
            <w:r>
              <w:rPr>
                <w:rFonts w:hint="eastAsia" w:ascii="宋体" w:hAnsi="宋体" w:cs="宋体"/>
                <w:szCs w:val="21"/>
              </w:rPr>
              <w:t>10分</w:t>
            </w:r>
          </w:p>
        </w:tc>
        <w:tc>
          <w:tcPr>
            <w:tcW w:w="1857" w:type="dxa"/>
            <w:tcBorders>
              <w:top w:val="single" w:color="auto" w:sz="6" w:space="0"/>
            </w:tcBorders>
            <w:vAlign w:val="center"/>
          </w:tcPr>
          <w:p>
            <w:pPr>
              <w:jc w:val="center"/>
              <w:rPr>
                <w:rFonts w:ascii="宋体" w:hAnsi="宋体" w:cs="宋体"/>
                <w:szCs w:val="21"/>
              </w:rPr>
            </w:pPr>
            <w:r>
              <w:rPr>
                <w:rFonts w:hint="eastAsia" w:ascii="宋体" w:hAnsi="宋体" w:cs="宋体"/>
                <w:szCs w:val="21"/>
              </w:rPr>
              <w:t>30分</w:t>
            </w:r>
          </w:p>
        </w:tc>
        <w:tc>
          <w:tcPr>
            <w:tcW w:w="1220" w:type="dxa"/>
            <w:tcBorders>
              <w:top w:val="single" w:color="auto" w:sz="6" w:space="0"/>
            </w:tcBorders>
            <w:vAlign w:val="center"/>
          </w:tcPr>
          <w:p>
            <w:pPr>
              <w:jc w:val="center"/>
              <w:rPr>
                <w:rFonts w:ascii="宋体" w:hAnsi="宋体" w:cs="宋体"/>
                <w:szCs w:val="21"/>
              </w:rPr>
            </w:pPr>
            <w:r>
              <w:rPr>
                <w:rFonts w:hint="eastAsia" w:ascii="宋体" w:hAnsi="宋体" w:cs="宋体"/>
                <w:szCs w:val="21"/>
              </w:rPr>
              <w:t>25分</w:t>
            </w:r>
          </w:p>
        </w:tc>
        <w:tc>
          <w:tcPr>
            <w:tcW w:w="1395" w:type="dxa"/>
            <w:tcBorders>
              <w:top w:val="single" w:color="auto" w:sz="6" w:space="0"/>
              <w:right w:val="single" w:color="auto" w:sz="4" w:space="0"/>
            </w:tcBorders>
            <w:vAlign w:val="center"/>
          </w:tcPr>
          <w:p>
            <w:pPr>
              <w:jc w:val="center"/>
              <w:rPr>
                <w:rFonts w:ascii="宋体" w:hAnsi="宋体" w:cs="宋体"/>
                <w:szCs w:val="21"/>
              </w:rPr>
            </w:pPr>
            <w:r>
              <w:rPr>
                <w:rFonts w:hint="eastAsia" w:ascii="宋体" w:hAnsi="宋体" w:cs="宋体"/>
                <w:szCs w:val="21"/>
              </w:rPr>
              <w:t>25分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1" w:hRule="atLeast"/>
          <w:jc w:val="center"/>
        </w:trPr>
        <w:tc>
          <w:tcPr>
            <w:tcW w:w="636" w:type="dxa"/>
            <w:vAlign w:val="center"/>
          </w:tcPr>
          <w:p>
            <w:pPr>
              <w:jc w:val="center"/>
              <w:rPr>
                <w:rFonts w:ascii="宋体" w:hAnsi="宋体" w:cs="宋体"/>
                <w:szCs w:val="21"/>
              </w:rPr>
            </w:pPr>
            <w:r>
              <w:rPr>
                <w:rFonts w:hint="eastAsia" w:ascii="宋体" w:hAnsi="宋体" w:cs="宋体"/>
                <w:szCs w:val="21"/>
              </w:rPr>
              <w:t>考评实施</w:t>
            </w:r>
          </w:p>
        </w:tc>
        <w:tc>
          <w:tcPr>
            <w:tcW w:w="1460" w:type="dxa"/>
          </w:tcPr>
          <w:p>
            <w:pPr>
              <w:rPr>
                <w:rFonts w:ascii="宋体" w:hAnsi="宋体" w:cs="宋体"/>
                <w:szCs w:val="21"/>
              </w:rPr>
            </w:pPr>
            <w:r>
              <w:rPr>
                <w:rFonts w:hint="eastAsia" w:ascii="宋体" w:hAnsi="宋体" w:cs="宋体"/>
                <w:szCs w:val="21"/>
              </w:rPr>
              <w:t>由主讲教师根据学生平日上课表现考评</w:t>
            </w:r>
          </w:p>
        </w:tc>
        <w:tc>
          <w:tcPr>
            <w:tcW w:w="1793" w:type="dxa"/>
          </w:tcPr>
          <w:p>
            <w:pPr>
              <w:rPr>
                <w:rFonts w:ascii="宋体" w:hAnsi="宋体" w:cs="宋体"/>
                <w:szCs w:val="21"/>
              </w:rPr>
            </w:pPr>
            <w:r>
              <w:rPr>
                <w:rFonts w:hint="eastAsia" w:ascii="宋体" w:hAnsi="宋体" w:cs="宋体"/>
                <w:szCs w:val="21"/>
              </w:rPr>
              <w:t>由指导教师根据学生表现进行考评</w:t>
            </w:r>
          </w:p>
        </w:tc>
        <w:tc>
          <w:tcPr>
            <w:tcW w:w="1857" w:type="dxa"/>
          </w:tcPr>
          <w:p>
            <w:pPr>
              <w:rPr>
                <w:rFonts w:ascii="宋体" w:hAnsi="宋体" w:cs="宋体"/>
                <w:szCs w:val="21"/>
              </w:rPr>
            </w:pPr>
            <w:r>
              <w:rPr>
                <w:rFonts w:hint="eastAsia" w:ascii="宋体" w:hAnsi="宋体" w:cs="宋体"/>
                <w:szCs w:val="21"/>
              </w:rPr>
              <w:t>每个学期由实训指导教师对学生进行三次以上的项目操作考评</w:t>
            </w:r>
          </w:p>
        </w:tc>
        <w:tc>
          <w:tcPr>
            <w:tcW w:w="1220" w:type="dxa"/>
          </w:tcPr>
          <w:p>
            <w:pPr>
              <w:jc w:val="left"/>
              <w:rPr>
                <w:rFonts w:ascii="宋体" w:hAnsi="宋体" w:cs="宋体"/>
                <w:szCs w:val="21"/>
              </w:rPr>
            </w:pPr>
            <w:r>
              <w:rPr>
                <w:rFonts w:hint="eastAsia" w:ascii="宋体" w:hAnsi="宋体" w:cs="宋体"/>
                <w:szCs w:val="21"/>
              </w:rPr>
              <w:t>按照教考分离原则，由学校教务处组织考评。</w:t>
            </w:r>
          </w:p>
        </w:tc>
        <w:tc>
          <w:tcPr>
            <w:tcW w:w="1395" w:type="dxa"/>
            <w:tcBorders>
              <w:right w:val="single" w:color="auto" w:sz="4" w:space="0"/>
            </w:tcBorders>
          </w:tcPr>
          <w:p>
            <w:pPr>
              <w:rPr>
                <w:rFonts w:ascii="宋体" w:hAnsi="宋体" w:cs="宋体"/>
                <w:szCs w:val="21"/>
              </w:rPr>
            </w:pPr>
            <w:r>
              <w:rPr>
                <w:rFonts w:hint="eastAsia" w:ascii="宋体" w:hAnsi="宋体" w:cs="宋体"/>
                <w:szCs w:val="21"/>
              </w:rPr>
              <w:t>由实训指导教师对学生进行操作考评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8" w:hRule="atLeast"/>
          <w:jc w:val="center"/>
        </w:trPr>
        <w:tc>
          <w:tcPr>
            <w:tcW w:w="636" w:type="dxa"/>
            <w:vAlign w:val="center"/>
          </w:tcPr>
          <w:p>
            <w:pPr>
              <w:jc w:val="center"/>
              <w:rPr>
                <w:rFonts w:ascii="宋体" w:hAnsi="宋体" w:cs="宋体"/>
                <w:szCs w:val="21"/>
              </w:rPr>
            </w:pPr>
            <w:r>
              <w:rPr>
                <w:rFonts w:hint="eastAsia" w:ascii="宋体" w:hAnsi="宋体" w:cs="宋体"/>
                <w:szCs w:val="21"/>
              </w:rPr>
              <w:t>考评标准</w:t>
            </w:r>
          </w:p>
        </w:tc>
        <w:tc>
          <w:tcPr>
            <w:tcW w:w="1460" w:type="dxa"/>
          </w:tcPr>
          <w:p>
            <w:pPr>
              <w:rPr>
                <w:rFonts w:ascii="宋体" w:hAnsi="宋体" w:cs="宋体"/>
                <w:szCs w:val="21"/>
              </w:rPr>
            </w:pPr>
            <w:r>
              <w:rPr>
                <w:rFonts w:hint="eastAsia" w:ascii="宋体" w:hAnsi="宋体" w:cs="宋体"/>
                <w:szCs w:val="21"/>
              </w:rPr>
              <w:t>出勤率2分</w:t>
            </w:r>
          </w:p>
          <w:p>
            <w:pPr>
              <w:rPr>
                <w:rFonts w:ascii="宋体" w:hAnsi="宋体" w:cs="宋体"/>
                <w:szCs w:val="21"/>
              </w:rPr>
            </w:pPr>
            <w:r>
              <w:rPr>
                <w:rFonts w:hint="eastAsia" w:ascii="宋体" w:hAnsi="宋体" w:cs="宋体"/>
                <w:szCs w:val="21"/>
              </w:rPr>
              <w:t>学习态度2分</w:t>
            </w:r>
          </w:p>
          <w:p>
            <w:pPr>
              <w:rPr>
                <w:rFonts w:ascii="宋体" w:hAnsi="宋体" w:cs="宋体"/>
                <w:szCs w:val="21"/>
              </w:rPr>
            </w:pPr>
            <w:r>
              <w:rPr>
                <w:rFonts w:hint="eastAsia" w:ascii="宋体" w:hAnsi="宋体" w:cs="宋体"/>
                <w:szCs w:val="21"/>
              </w:rPr>
              <w:t>学习纪律2分</w:t>
            </w:r>
          </w:p>
          <w:p>
            <w:pPr>
              <w:rPr>
                <w:rFonts w:ascii="宋体" w:hAnsi="宋体" w:cs="宋体"/>
                <w:szCs w:val="21"/>
              </w:rPr>
            </w:pPr>
            <w:r>
              <w:rPr>
                <w:rFonts w:hint="eastAsia" w:ascii="宋体" w:hAnsi="宋体" w:cs="宋体"/>
                <w:szCs w:val="21"/>
              </w:rPr>
              <w:t>课堂表现2分</w:t>
            </w:r>
          </w:p>
          <w:p>
            <w:pPr>
              <w:rPr>
                <w:rFonts w:ascii="宋体" w:hAnsi="宋体" w:cs="宋体"/>
                <w:szCs w:val="21"/>
              </w:rPr>
            </w:pPr>
            <w:r>
              <w:rPr>
                <w:rFonts w:hint="eastAsia" w:ascii="宋体" w:hAnsi="宋体" w:cs="宋体"/>
                <w:szCs w:val="21"/>
              </w:rPr>
              <w:t>平时作业2分</w:t>
            </w:r>
          </w:p>
          <w:p>
            <w:pPr>
              <w:rPr>
                <w:rFonts w:ascii="宋体" w:hAnsi="宋体" w:cs="宋体"/>
                <w:szCs w:val="21"/>
              </w:rPr>
            </w:pPr>
          </w:p>
        </w:tc>
        <w:tc>
          <w:tcPr>
            <w:tcW w:w="1793" w:type="dxa"/>
          </w:tcPr>
          <w:p>
            <w:pPr>
              <w:rPr>
                <w:rFonts w:ascii="宋体" w:hAnsi="宋体" w:cs="宋体"/>
                <w:szCs w:val="21"/>
              </w:rPr>
            </w:pPr>
            <w:r>
              <w:rPr>
                <w:rFonts w:hint="eastAsia" w:ascii="宋体" w:hAnsi="宋体" w:cs="宋体"/>
                <w:szCs w:val="21"/>
              </w:rPr>
              <w:t>工装穿戴2分</w:t>
            </w:r>
          </w:p>
          <w:p>
            <w:pPr>
              <w:rPr>
                <w:rFonts w:ascii="宋体" w:hAnsi="宋体" w:cs="宋体"/>
                <w:szCs w:val="21"/>
              </w:rPr>
            </w:pPr>
            <w:r>
              <w:rPr>
                <w:rFonts w:hint="eastAsia" w:ascii="宋体" w:hAnsi="宋体" w:cs="宋体"/>
                <w:szCs w:val="21"/>
              </w:rPr>
              <w:t>生产纪律2分</w:t>
            </w:r>
          </w:p>
          <w:p>
            <w:pPr>
              <w:rPr>
                <w:rFonts w:ascii="宋体" w:hAnsi="宋体" w:cs="宋体"/>
                <w:szCs w:val="21"/>
              </w:rPr>
            </w:pPr>
            <w:r>
              <w:rPr>
                <w:rFonts w:hint="eastAsia" w:ascii="宋体" w:hAnsi="宋体" w:cs="宋体"/>
                <w:szCs w:val="21"/>
              </w:rPr>
              <w:t>文明生产2分</w:t>
            </w:r>
          </w:p>
          <w:p>
            <w:pPr>
              <w:rPr>
                <w:rFonts w:ascii="宋体" w:hAnsi="宋体" w:cs="宋体"/>
                <w:szCs w:val="21"/>
              </w:rPr>
            </w:pPr>
            <w:r>
              <w:rPr>
                <w:rFonts w:hint="eastAsia" w:ascii="宋体" w:hAnsi="宋体" w:cs="宋体"/>
                <w:szCs w:val="21"/>
              </w:rPr>
              <w:t>团队合作2分</w:t>
            </w:r>
          </w:p>
          <w:p>
            <w:pPr>
              <w:rPr>
                <w:rFonts w:ascii="宋体" w:hAnsi="宋体" w:cs="宋体"/>
                <w:szCs w:val="21"/>
              </w:rPr>
            </w:pPr>
            <w:r>
              <w:rPr>
                <w:rFonts w:hint="eastAsia" w:ascii="宋体" w:hAnsi="宋体" w:cs="宋体"/>
                <w:szCs w:val="21"/>
              </w:rPr>
              <w:t>小组或团队评价2分</w:t>
            </w:r>
          </w:p>
        </w:tc>
        <w:tc>
          <w:tcPr>
            <w:tcW w:w="1857" w:type="dxa"/>
          </w:tcPr>
          <w:p>
            <w:pPr>
              <w:rPr>
                <w:rFonts w:ascii="宋体" w:hAnsi="宋体" w:cs="宋体"/>
                <w:szCs w:val="21"/>
              </w:rPr>
            </w:pPr>
            <w:r>
              <w:rPr>
                <w:rFonts w:hint="eastAsia" w:ascii="宋体" w:hAnsi="宋体" w:cs="宋体"/>
                <w:szCs w:val="21"/>
              </w:rPr>
              <w:t>任务方案正确4分</w:t>
            </w:r>
          </w:p>
          <w:p>
            <w:pPr>
              <w:rPr>
                <w:rFonts w:ascii="宋体" w:hAnsi="宋体" w:cs="宋体"/>
                <w:szCs w:val="21"/>
              </w:rPr>
            </w:pPr>
            <w:r>
              <w:rPr>
                <w:rFonts w:hint="eastAsia" w:ascii="宋体" w:hAnsi="宋体" w:cs="宋体"/>
                <w:szCs w:val="21"/>
              </w:rPr>
              <w:t>工具使用正确6分</w:t>
            </w:r>
          </w:p>
          <w:p>
            <w:pPr>
              <w:rPr>
                <w:rFonts w:ascii="宋体" w:hAnsi="宋体" w:cs="宋体"/>
                <w:szCs w:val="21"/>
              </w:rPr>
            </w:pPr>
            <w:r>
              <w:rPr>
                <w:rFonts w:hint="eastAsia" w:ascii="宋体" w:hAnsi="宋体" w:cs="宋体"/>
                <w:szCs w:val="21"/>
              </w:rPr>
              <w:t>口试4分</w:t>
            </w:r>
          </w:p>
          <w:p>
            <w:pPr>
              <w:rPr>
                <w:rFonts w:ascii="宋体" w:hAnsi="宋体" w:cs="宋体"/>
                <w:szCs w:val="21"/>
              </w:rPr>
            </w:pPr>
            <w:r>
              <w:rPr>
                <w:rFonts w:hint="eastAsia" w:ascii="宋体" w:hAnsi="宋体" w:cs="宋体"/>
                <w:szCs w:val="21"/>
              </w:rPr>
              <w:t>操作过程正确6分</w:t>
            </w:r>
          </w:p>
          <w:p>
            <w:pPr>
              <w:rPr>
                <w:rFonts w:ascii="宋体" w:hAnsi="宋体" w:cs="宋体"/>
                <w:szCs w:val="21"/>
              </w:rPr>
            </w:pPr>
            <w:r>
              <w:rPr>
                <w:rFonts w:hint="eastAsia" w:ascii="宋体" w:hAnsi="宋体" w:cs="宋体"/>
                <w:szCs w:val="21"/>
              </w:rPr>
              <w:t>任务完成质量5分</w:t>
            </w:r>
          </w:p>
          <w:p>
            <w:pPr>
              <w:rPr>
                <w:rFonts w:ascii="宋体" w:hAnsi="宋体" w:cs="宋体"/>
                <w:szCs w:val="21"/>
              </w:rPr>
            </w:pPr>
            <w:r>
              <w:rPr>
                <w:rFonts w:hint="eastAsia" w:ascii="宋体" w:hAnsi="宋体" w:cs="宋体"/>
                <w:szCs w:val="21"/>
              </w:rPr>
              <w:t>5S管理5分</w:t>
            </w:r>
          </w:p>
        </w:tc>
        <w:tc>
          <w:tcPr>
            <w:tcW w:w="1220" w:type="dxa"/>
          </w:tcPr>
          <w:p>
            <w:pPr>
              <w:rPr>
                <w:rFonts w:ascii="宋体" w:hAnsi="宋体" w:cs="宋体"/>
                <w:szCs w:val="21"/>
              </w:rPr>
            </w:pPr>
            <w:r>
              <w:rPr>
                <w:rFonts w:hint="eastAsia" w:ascii="宋体" w:hAnsi="宋体" w:cs="宋体"/>
                <w:szCs w:val="21"/>
              </w:rPr>
              <w:t>建议题型：填空、选择、判断、名词解释、问答题、论述题。</w:t>
            </w:r>
          </w:p>
        </w:tc>
        <w:tc>
          <w:tcPr>
            <w:tcW w:w="1395" w:type="dxa"/>
            <w:tcBorders>
              <w:right w:val="single" w:color="auto" w:sz="4" w:space="0"/>
            </w:tcBorders>
          </w:tcPr>
          <w:p>
            <w:pPr>
              <w:rPr>
                <w:rFonts w:ascii="宋体" w:hAnsi="宋体" w:cs="宋体"/>
                <w:szCs w:val="21"/>
              </w:rPr>
            </w:pPr>
            <w:r>
              <w:rPr>
                <w:rFonts w:hint="eastAsia" w:ascii="宋体" w:hAnsi="宋体" w:cs="宋体"/>
                <w:szCs w:val="21"/>
              </w:rPr>
              <w:t>工量具使用；</w:t>
            </w:r>
          </w:p>
          <w:p>
            <w:pPr>
              <w:rPr>
                <w:rFonts w:ascii="宋体" w:hAnsi="宋体" w:cs="宋体"/>
                <w:szCs w:val="21"/>
              </w:rPr>
            </w:pPr>
            <w:r>
              <w:rPr>
                <w:rFonts w:hint="eastAsia" w:ascii="宋体" w:hAnsi="宋体" w:cs="宋体"/>
                <w:szCs w:val="21"/>
              </w:rPr>
              <w:t>仪器设备使用；故障诊断；故障诊断分析；故障排除；验证和验收。</w:t>
            </w:r>
          </w:p>
        </w:tc>
      </w:tr>
    </w:tbl>
    <w:p>
      <w:pPr>
        <w:spacing w:line="360" w:lineRule="auto"/>
        <w:ind w:firstLine="413" w:firstLineChars="196"/>
        <w:outlineLvl w:val="0"/>
        <w:rPr>
          <w:rFonts w:ascii="宋体" w:hAnsi="宋体"/>
          <w:b/>
          <w:szCs w:val="21"/>
        </w:rPr>
      </w:pPr>
      <w:bookmarkStart w:id="14" w:name="_Toc5514"/>
      <w:r>
        <w:rPr>
          <w:rFonts w:hint="eastAsia" w:ascii="宋体" w:hAnsi="宋体"/>
          <w:b/>
          <w:szCs w:val="21"/>
        </w:rPr>
        <w:t>十二、毕业标准（要求）</w:t>
      </w:r>
      <w:bookmarkEnd w:id="14"/>
    </w:p>
    <w:p>
      <w:pPr>
        <w:spacing w:line="360" w:lineRule="auto"/>
        <w:ind w:firstLine="420" w:firstLineChars="200"/>
        <w:rPr>
          <w:rFonts w:ascii="宋体" w:hAnsi="宋体"/>
          <w:szCs w:val="21"/>
        </w:rPr>
      </w:pPr>
      <w:r>
        <w:rPr>
          <w:rFonts w:hint="eastAsia" w:ascii="宋体" w:hAnsi="宋体"/>
          <w:szCs w:val="21"/>
        </w:rPr>
        <w:t>政治合格，思想品德综合考核合格；修完人才培养方案规定的各门课程，经考试考核各科成绩合格，完成毕业实习和社会实践活动，经过体质体能测试，达到本专业规定的毕业学分；积极参加</w:t>
      </w:r>
      <w:r>
        <w:rPr>
          <w:rFonts w:hint="eastAsia" w:ascii="宋体" w:hAnsi="宋体"/>
          <w:szCs w:val="21"/>
          <w:lang w:val="en-US" w:eastAsia="zh-CN"/>
        </w:rPr>
        <w:t>课外</w:t>
      </w:r>
      <w:r>
        <w:rPr>
          <w:rFonts w:hint="eastAsia" w:ascii="宋体" w:hAnsi="宋体"/>
          <w:szCs w:val="21"/>
        </w:rPr>
        <w:t>活动，修完相应的网络学习课程，全面提高综合素质。在规定的学习年限内，达到以上要求者准予毕业，颁发毕业证书。</w:t>
      </w:r>
    </w:p>
    <w:p>
      <w:pPr>
        <w:spacing w:line="360" w:lineRule="auto"/>
        <w:ind w:firstLine="420" w:firstLineChars="200"/>
        <w:rPr>
          <w:rFonts w:ascii="宋体" w:hAnsi="宋体"/>
          <w:szCs w:val="21"/>
        </w:rPr>
      </w:pPr>
      <w:r>
        <w:rPr>
          <w:rFonts w:hint="eastAsia" w:ascii="宋体" w:hAnsi="宋体"/>
          <w:szCs w:val="21"/>
        </w:rPr>
        <w:t>鼓励学生参加职业资格培训学习，并取得相应的职业资格证书，如：计算机、普通话、英语应用能力、本专业职业资格证书等。</w:t>
      </w:r>
    </w:p>
    <w:p>
      <w:pPr>
        <w:spacing w:line="360" w:lineRule="auto"/>
        <w:ind w:firstLine="422" w:firstLineChars="200"/>
        <w:outlineLvl w:val="0"/>
        <w:rPr>
          <w:rFonts w:ascii="宋体" w:hAnsi="宋体" w:cs="宋体"/>
          <w:szCs w:val="21"/>
        </w:rPr>
      </w:pPr>
      <w:bookmarkStart w:id="15" w:name="_Toc11646"/>
      <w:r>
        <w:rPr>
          <w:rFonts w:hint="eastAsia" w:ascii="宋体" w:hAnsi="宋体" w:cs="宋体"/>
          <w:b/>
          <w:szCs w:val="21"/>
        </w:rPr>
        <w:t>十三、教学条件保障</w:t>
      </w:r>
      <w:bookmarkEnd w:id="15"/>
    </w:p>
    <w:p>
      <w:pPr>
        <w:spacing w:line="360" w:lineRule="auto"/>
        <w:ind w:firstLine="422" w:firstLineChars="200"/>
        <w:jc w:val="left"/>
        <w:rPr>
          <w:rFonts w:ascii="宋体" w:hAnsi="宋体"/>
          <w:b/>
          <w:color w:val="333333"/>
          <w:szCs w:val="21"/>
        </w:rPr>
      </w:pPr>
      <w:r>
        <w:rPr>
          <w:rFonts w:hint="eastAsia" w:ascii="宋体" w:hAnsi="宋体"/>
          <w:b/>
          <w:color w:val="333333"/>
          <w:szCs w:val="21"/>
        </w:rPr>
        <w:t>（一）师资队伍</w:t>
      </w:r>
    </w:p>
    <w:p>
      <w:pPr>
        <w:spacing w:line="360" w:lineRule="auto"/>
        <w:ind w:firstLine="420" w:firstLineChars="200"/>
        <w:rPr>
          <w:rFonts w:ascii="宋体" w:hAnsi="宋体"/>
          <w:color w:val="333333"/>
          <w:szCs w:val="21"/>
        </w:rPr>
      </w:pPr>
      <w:r>
        <w:rPr>
          <w:rFonts w:hint="eastAsia" w:ascii="宋体" w:hAnsi="宋体" w:cs="宋体"/>
          <w:szCs w:val="21"/>
        </w:rPr>
        <w:t>建立一支专兼结合、“双师”素质、结构合理的专兼职师资队伍，保障教学活动正常开展，加强师资队伍建设，保证教育教学质量持续提高</w:t>
      </w:r>
      <w:r>
        <w:rPr>
          <w:rFonts w:hint="eastAsia" w:ascii="宋体" w:hAnsi="宋体"/>
          <w:color w:val="333333"/>
          <w:szCs w:val="21"/>
        </w:rPr>
        <w:t>。</w:t>
      </w:r>
    </w:p>
    <w:p>
      <w:pPr>
        <w:spacing w:line="360" w:lineRule="auto"/>
        <w:ind w:firstLine="422" w:firstLineChars="200"/>
        <w:rPr>
          <w:rFonts w:ascii="宋体" w:hAnsi="宋体"/>
          <w:b/>
          <w:szCs w:val="21"/>
        </w:rPr>
      </w:pPr>
      <w:r>
        <w:rPr>
          <w:rFonts w:hint="eastAsia" w:ascii="宋体" w:hAnsi="宋体"/>
          <w:b/>
          <w:szCs w:val="21"/>
        </w:rPr>
        <w:t>（二）教学设施</w:t>
      </w:r>
    </w:p>
    <w:p>
      <w:pPr>
        <w:spacing w:line="360" w:lineRule="auto"/>
        <w:ind w:firstLine="420" w:firstLineChars="200"/>
        <w:rPr>
          <w:rFonts w:ascii="宋体" w:hAnsi="宋体"/>
          <w:b/>
          <w:szCs w:val="21"/>
        </w:rPr>
      </w:pPr>
      <w:r>
        <w:rPr>
          <w:rFonts w:hint="eastAsia" w:ascii="宋体" w:hAnsi="宋体"/>
          <w:szCs w:val="21"/>
        </w:rPr>
        <w:t>学院有篮球场10块，乒乓球、羽毛球、排球场地设施器材若干，田径运动场；形体训练室1间，面积120m</w:t>
      </w:r>
      <w:r>
        <w:rPr>
          <w:rFonts w:hint="eastAsia" w:ascii="宋体" w:hAnsi="宋体"/>
          <w:szCs w:val="21"/>
          <w:vertAlign w:val="superscript"/>
        </w:rPr>
        <w:t>2</w:t>
      </w:r>
      <w:r>
        <w:rPr>
          <w:rFonts w:hint="eastAsia" w:ascii="宋体" w:hAnsi="宋体"/>
          <w:szCs w:val="21"/>
        </w:rPr>
        <w:t>；多媒体教室12间；微机教室6间300座等公共教学设施。</w:t>
      </w:r>
    </w:p>
    <w:p>
      <w:pPr>
        <w:spacing w:line="360" w:lineRule="auto"/>
        <w:ind w:firstLine="420" w:firstLineChars="200"/>
        <w:rPr>
          <w:rFonts w:ascii="宋体" w:hAnsi="宋体"/>
          <w:szCs w:val="21"/>
        </w:rPr>
      </w:pPr>
      <w:r>
        <w:rPr>
          <w:rFonts w:hint="eastAsia" w:ascii="宋体" w:hAnsi="宋体"/>
          <w:szCs w:val="21"/>
        </w:rPr>
        <w:t>校内建有建筑类3个实训室，校外与多家建筑企业、建成校企合作平台，教学设施能够满足专业建设、教学管理、信息化教学和学生自主学习需要。</w:t>
      </w:r>
    </w:p>
    <w:p>
      <w:pPr>
        <w:spacing w:line="360" w:lineRule="auto"/>
        <w:ind w:firstLine="422" w:firstLineChars="200"/>
        <w:rPr>
          <w:rFonts w:ascii="宋体" w:hAnsi="宋体"/>
          <w:b/>
          <w:szCs w:val="21"/>
        </w:rPr>
      </w:pPr>
      <w:r>
        <w:rPr>
          <w:rFonts w:hint="eastAsia" w:ascii="宋体" w:hAnsi="宋体"/>
          <w:b/>
          <w:szCs w:val="21"/>
        </w:rPr>
        <w:t>（三）教学资源</w:t>
      </w:r>
    </w:p>
    <w:p>
      <w:pPr>
        <w:spacing w:line="360" w:lineRule="auto"/>
        <w:ind w:firstLine="420" w:firstLineChars="200"/>
        <w:rPr>
          <w:rFonts w:ascii="宋体" w:hAnsi="宋体"/>
          <w:szCs w:val="21"/>
        </w:rPr>
      </w:pPr>
      <w:r>
        <w:rPr>
          <w:rFonts w:hint="eastAsia" w:ascii="宋体" w:hAnsi="宋体"/>
          <w:szCs w:val="21"/>
        </w:rPr>
        <w:t>1.公共课程教材采用高等教育出版社等十三五规划教材；专业课程教材主要采用十三五规划教材。</w:t>
      </w:r>
    </w:p>
    <w:p>
      <w:pPr>
        <w:spacing w:line="360" w:lineRule="auto"/>
        <w:ind w:firstLine="420" w:firstLineChars="200"/>
        <w:rPr>
          <w:rFonts w:ascii="宋体" w:hAnsi="宋体"/>
          <w:szCs w:val="21"/>
        </w:rPr>
      </w:pPr>
      <w:r>
        <w:rPr>
          <w:rFonts w:hint="eastAsia" w:ascii="宋体" w:hAnsi="宋体"/>
          <w:szCs w:val="21"/>
        </w:rPr>
        <w:t>2.学院图书馆现有馆藏纸质图书12.84万册，电子图书780GB,转换成册为10万册。</w:t>
      </w:r>
    </w:p>
    <w:p>
      <w:pPr>
        <w:spacing w:line="360" w:lineRule="auto"/>
        <w:ind w:firstLine="420" w:firstLineChars="200"/>
        <w:rPr>
          <w:rFonts w:ascii="宋体" w:hAnsi="宋体"/>
          <w:szCs w:val="21"/>
        </w:rPr>
      </w:pPr>
      <w:r>
        <w:rPr>
          <w:rFonts w:hint="eastAsia" w:ascii="宋体" w:hAnsi="宋体"/>
          <w:szCs w:val="21"/>
        </w:rPr>
        <w:t>教材、图书和数字资源，能够满足学生专业学习、教师专业教学研究、教学实施和社会服务需要。严格执行国家和云南省关于教材选用的有关要求。</w:t>
      </w:r>
    </w:p>
    <w:p>
      <w:pPr>
        <w:spacing w:line="360" w:lineRule="auto"/>
        <w:ind w:firstLine="422" w:firstLineChars="200"/>
        <w:rPr>
          <w:rFonts w:ascii="宋体" w:hAnsi="宋体"/>
          <w:b/>
          <w:szCs w:val="21"/>
        </w:rPr>
      </w:pPr>
      <w:r>
        <w:rPr>
          <w:rFonts w:hint="eastAsia" w:ascii="宋体" w:hAnsi="宋体"/>
          <w:b/>
          <w:szCs w:val="21"/>
        </w:rPr>
        <w:t>（四）教学方法</w:t>
      </w:r>
    </w:p>
    <w:p>
      <w:pPr>
        <w:spacing w:line="360" w:lineRule="auto"/>
        <w:ind w:firstLine="420" w:firstLineChars="200"/>
        <w:rPr>
          <w:rFonts w:ascii="宋体" w:hAnsi="宋体"/>
          <w:szCs w:val="21"/>
        </w:rPr>
      </w:pPr>
      <w:r>
        <w:rPr>
          <w:rFonts w:hint="eastAsia" w:ascii="宋体" w:hAnsi="宋体"/>
          <w:szCs w:val="21"/>
        </w:rPr>
        <w:t>依据专业培养目标、课程教学要求、学生能力与教学资源，采用适当的教学方法，以达成预期教学目标。倡导因材施教、因需施教，鼓励创新教学方法和策略，采用理实一体化教学、案例教学、项目教学等方法，坚持学中做、做中学。</w:t>
      </w:r>
    </w:p>
    <w:p>
      <w:pPr>
        <w:spacing w:line="360" w:lineRule="auto"/>
        <w:ind w:firstLine="422" w:firstLineChars="200"/>
        <w:rPr>
          <w:rFonts w:ascii="宋体" w:hAnsi="宋体"/>
          <w:b/>
          <w:szCs w:val="21"/>
        </w:rPr>
      </w:pPr>
      <w:r>
        <w:rPr>
          <w:rFonts w:hint="eastAsia" w:ascii="宋体" w:hAnsi="宋体"/>
          <w:b/>
          <w:szCs w:val="21"/>
        </w:rPr>
        <w:t>（五）教学评价</w:t>
      </w:r>
    </w:p>
    <w:p>
      <w:pPr>
        <w:spacing w:line="360" w:lineRule="auto"/>
        <w:ind w:firstLine="420" w:firstLineChars="200"/>
        <w:rPr>
          <w:rFonts w:ascii="宋体" w:hAnsi="宋体"/>
          <w:szCs w:val="21"/>
        </w:rPr>
      </w:pPr>
      <w:r>
        <w:rPr>
          <w:rFonts w:hint="eastAsia" w:ascii="宋体" w:hAnsi="宋体"/>
          <w:szCs w:val="21"/>
        </w:rPr>
        <w:t>对学生的学业考核评价内容兼顾认知、技能、情感等方面，评价体现评价标准、评价主体、评价方式、评价过程的多元化，如观察、口试、笔试、顶岗操作、职业技能大赛、职业资格鉴定等评价、评定方式。加强对教学过程质量监控，改革教学评价标准和方法。</w:t>
      </w:r>
    </w:p>
    <w:p>
      <w:pPr>
        <w:spacing w:line="360" w:lineRule="auto"/>
        <w:ind w:firstLine="422" w:firstLineChars="200"/>
        <w:rPr>
          <w:rFonts w:ascii="宋体" w:hAnsi="宋体"/>
          <w:b/>
          <w:szCs w:val="21"/>
        </w:rPr>
      </w:pPr>
      <w:r>
        <w:rPr>
          <w:rFonts w:hint="eastAsia" w:ascii="宋体" w:hAnsi="宋体"/>
          <w:b/>
          <w:szCs w:val="21"/>
        </w:rPr>
        <w:t>（六）质量管理</w:t>
      </w:r>
    </w:p>
    <w:p>
      <w:pPr>
        <w:widowControl/>
        <w:adjustRightInd w:val="0"/>
        <w:snapToGrid w:val="0"/>
        <w:spacing w:line="360" w:lineRule="auto"/>
        <w:ind w:firstLine="420" w:firstLineChars="200"/>
        <w:jc w:val="left"/>
        <w:rPr>
          <w:rFonts w:ascii="宋体" w:hAnsi="宋体"/>
          <w:szCs w:val="21"/>
        </w:rPr>
      </w:pPr>
      <w:r>
        <w:rPr>
          <w:rFonts w:hint="eastAsia" w:ascii="宋体" w:hAnsi="宋体"/>
          <w:szCs w:val="21"/>
        </w:rPr>
        <w:t>建立健全学院内部质量保证体系，以保障和提高教学质量为目标，运用系统方法，统筹考虑影响教学质量的各主要因素，结合教学诊断与改进、质量年报等职业院校自主保证人才培养质量的工作，统筹管理学校各部门、各环节的教学质量管理活动，形成任务、职责、权限明确，相互协调、相互促进的质量管理有机整体。</w:t>
      </w:r>
    </w:p>
    <w:p>
      <w:pPr>
        <w:numPr>
          <w:ilvl w:val="0"/>
          <w:numId w:val="3"/>
        </w:numPr>
        <w:spacing w:line="360" w:lineRule="auto"/>
        <w:ind w:left="517" w:leftChars="246"/>
        <w:outlineLvl w:val="0"/>
        <w:rPr>
          <w:rFonts w:hint="eastAsia" w:ascii="宋体" w:hAnsi="宋体"/>
          <w:b/>
          <w:szCs w:val="21"/>
        </w:rPr>
      </w:pPr>
      <w:bookmarkStart w:id="16" w:name="_Toc19349"/>
      <w:r>
        <w:rPr>
          <w:rFonts w:hint="eastAsia" w:ascii="宋体" w:hAnsi="宋体"/>
          <w:b/>
          <w:szCs w:val="21"/>
        </w:rPr>
        <w:t>教学进程安排</w:t>
      </w:r>
      <w:bookmarkEnd w:id="16"/>
      <w:r>
        <w:rPr>
          <w:rFonts w:hint="eastAsia" w:ascii="宋体" w:hAnsi="宋体"/>
          <w:b/>
          <w:szCs w:val="21"/>
        </w:rPr>
        <w:t xml:space="preserve"> </w:t>
      </w:r>
    </w:p>
    <w:p>
      <w:pPr>
        <w:numPr>
          <w:ilvl w:val="0"/>
          <w:numId w:val="4"/>
        </w:numPr>
        <w:spacing w:line="360" w:lineRule="auto"/>
        <w:jc w:val="center"/>
        <w:rPr>
          <w:rFonts w:hint="eastAsia" w:ascii="宋体" w:hAnsi="宋体" w:cs="宋体"/>
          <w:b/>
          <w:color w:val="000000"/>
          <w:kern w:val="0"/>
          <w:szCs w:val="21"/>
        </w:rPr>
      </w:pPr>
      <w:r>
        <w:rPr>
          <w:rFonts w:hint="eastAsia" w:ascii="宋体" w:hAnsi="宋体"/>
          <w:b/>
          <w:szCs w:val="21"/>
        </w:rPr>
        <w:t>教学进程表</w:t>
      </w:r>
      <w:r>
        <w:rPr>
          <w:rFonts w:hint="eastAsia" w:ascii="宋体" w:hAnsi="宋体" w:cs="宋体"/>
          <w:b/>
          <w:color w:val="000000"/>
          <w:kern w:val="0"/>
          <w:szCs w:val="21"/>
        </w:rPr>
        <w:t>工程造价专业教学进程表（四年制）</w:t>
      </w:r>
    </w:p>
    <w:p>
      <w:pPr>
        <w:numPr>
          <w:ilvl w:val="0"/>
          <w:numId w:val="0"/>
        </w:numPr>
        <w:spacing w:line="360" w:lineRule="auto"/>
        <w:jc w:val="both"/>
        <w:rPr>
          <w:rFonts w:ascii="宋体" w:hAnsi="宋体" w:cs="宋体"/>
          <w:b/>
          <w:bCs/>
          <w:szCs w:val="21"/>
        </w:rPr>
      </w:pPr>
      <w:r>
        <w:drawing>
          <wp:inline distT="0" distB="0" distL="114300" distR="114300">
            <wp:extent cx="5273040" cy="720090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3040" cy="7200900"/>
                    </a:xfrm>
                    <a:prstGeom prst="rect">
                      <a:avLst/>
                    </a:prstGeom>
                    <a:noFill/>
                    <a:ln>
                      <a:noFill/>
                    </a:ln>
                  </pic:spPr>
                </pic:pic>
              </a:graphicData>
            </a:graphic>
          </wp:inline>
        </w:drawing>
      </w:r>
    </w:p>
    <w:p>
      <w:pPr>
        <w:spacing w:line="360" w:lineRule="auto"/>
        <w:ind w:firstLine="422" w:firstLineChars="200"/>
        <w:rPr>
          <w:b/>
          <w:bCs/>
          <w:szCs w:val="21"/>
        </w:rPr>
      </w:pPr>
      <w:r>
        <w:rPr>
          <w:rFonts w:hint="eastAsia" w:ascii="宋体" w:hAnsi="宋体" w:cs="宋体"/>
          <w:b/>
          <w:bCs/>
          <w:szCs w:val="21"/>
        </w:rPr>
        <w:t>（二）</w:t>
      </w:r>
      <w:r>
        <w:rPr>
          <w:rFonts w:hint="eastAsia"/>
          <w:b/>
          <w:bCs/>
          <w:szCs w:val="21"/>
        </w:rPr>
        <w:t>毕业实习</w:t>
      </w:r>
    </w:p>
    <w:p>
      <w:pPr>
        <w:ind w:firstLine="420" w:firstLineChars="200"/>
        <w:rPr>
          <w:rFonts w:ascii="宋体" w:hAnsi="宋体" w:cs="宋体"/>
          <w:szCs w:val="21"/>
        </w:rPr>
      </w:pPr>
      <w:r>
        <w:rPr>
          <w:rFonts w:hint="eastAsia"/>
          <w:szCs w:val="21"/>
        </w:rPr>
        <w:t>在第三至第八学期进行跟岗实习、顶岗实习、预就业等实践，可在建筑行业等领域实习，总计40周，计40学分</w:t>
      </w:r>
      <w:r>
        <w:rPr>
          <w:rFonts w:hint="eastAsia"/>
          <w:b/>
          <w:szCs w:val="21"/>
        </w:rPr>
        <w:t>。</w:t>
      </w:r>
    </w:p>
    <w:p>
      <w:pPr>
        <w:spacing w:line="360" w:lineRule="auto"/>
        <w:ind w:left="105" w:leftChars="50" w:firstLine="413" w:firstLineChars="196"/>
        <w:outlineLvl w:val="0"/>
        <w:rPr>
          <w:b/>
          <w:szCs w:val="21"/>
        </w:rPr>
      </w:pPr>
      <w:bookmarkStart w:id="17" w:name="_Toc11302"/>
      <w:r>
        <w:rPr>
          <w:rFonts w:hint="eastAsia"/>
          <w:b/>
          <w:szCs w:val="21"/>
        </w:rPr>
        <w:t>十五、其他说明</w:t>
      </w:r>
      <w:bookmarkEnd w:id="17"/>
    </w:p>
    <w:p>
      <w:pPr>
        <w:spacing w:line="360" w:lineRule="auto"/>
        <w:ind w:firstLine="422" w:firstLineChars="200"/>
        <w:jc w:val="left"/>
        <w:rPr>
          <w:rFonts w:ascii="宋体" w:hAnsi="宋体"/>
          <w:b/>
          <w:szCs w:val="21"/>
        </w:rPr>
      </w:pPr>
      <w:r>
        <w:rPr>
          <w:rFonts w:hint="eastAsia" w:ascii="宋体" w:hAnsi="宋体"/>
          <w:b/>
          <w:szCs w:val="21"/>
        </w:rPr>
        <w:t>（</w:t>
      </w:r>
      <w:r>
        <w:rPr>
          <w:rFonts w:hint="eastAsia" w:ascii="宋体" w:hAnsi="宋体"/>
          <w:b/>
          <w:szCs w:val="21"/>
          <w:lang w:val="en-US" w:eastAsia="zh-CN"/>
        </w:rPr>
        <w:t>一</w:t>
      </w:r>
      <w:r>
        <w:rPr>
          <w:rFonts w:hint="eastAsia" w:ascii="宋体" w:hAnsi="宋体"/>
          <w:b/>
          <w:szCs w:val="21"/>
        </w:rPr>
        <w:t>）</w:t>
      </w:r>
      <w:r>
        <w:rPr>
          <w:rFonts w:hint="eastAsia" w:ascii="宋体" w:hAnsi="宋体"/>
          <w:b/>
          <w:szCs w:val="21"/>
          <w:lang w:val="en-US" w:eastAsia="zh-CN"/>
        </w:rPr>
        <w:t>线上</w:t>
      </w:r>
      <w:r>
        <w:rPr>
          <w:rFonts w:hint="eastAsia" w:ascii="宋体" w:hAnsi="宋体"/>
          <w:b/>
          <w:szCs w:val="21"/>
        </w:rPr>
        <w:t>课程学习</w:t>
      </w:r>
    </w:p>
    <w:p>
      <w:pPr>
        <w:spacing w:line="360" w:lineRule="auto"/>
        <w:ind w:firstLine="420" w:firstLineChars="200"/>
        <w:jc w:val="left"/>
        <w:rPr>
          <w:rFonts w:ascii="宋体" w:hAnsi="宋体"/>
          <w:szCs w:val="21"/>
        </w:rPr>
      </w:pPr>
      <w:r>
        <w:rPr>
          <w:rFonts w:hint="eastAsia" w:ascii="宋体" w:hAnsi="宋体"/>
          <w:szCs w:val="21"/>
        </w:rPr>
        <w:t>学院依托</w:t>
      </w:r>
      <w:r>
        <w:rPr>
          <w:rFonts w:hint="eastAsia" w:ascii="宋体" w:hAnsi="宋体"/>
          <w:szCs w:val="21"/>
          <w:lang w:eastAsia="zh-CN"/>
        </w:rPr>
        <w:t>弘成科技发展有限</w:t>
      </w:r>
      <w:r>
        <w:rPr>
          <w:rFonts w:hint="eastAsia" w:ascii="宋体" w:hAnsi="宋体"/>
          <w:szCs w:val="21"/>
        </w:rPr>
        <w:t>公司网络学习平台的网络课程包组织开展学习，由教务处统一管理，按照选课要求办理，独立管理，单独考核，单独计算学分。</w:t>
      </w:r>
    </w:p>
    <w:p>
      <w:pPr>
        <w:spacing w:line="360" w:lineRule="auto"/>
        <w:ind w:firstLine="422" w:firstLineChars="200"/>
        <w:jc w:val="left"/>
        <w:rPr>
          <w:rFonts w:ascii="宋体" w:hAnsi="宋体"/>
          <w:b/>
          <w:bCs/>
          <w:szCs w:val="21"/>
        </w:rPr>
      </w:pPr>
      <w:r>
        <w:rPr>
          <w:rFonts w:hint="eastAsia" w:ascii="宋体" w:hAnsi="宋体"/>
          <w:b/>
          <w:bCs/>
          <w:szCs w:val="21"/>
        </w:rPr>
        <w:t>（</w:t>
      </w:r>
      <w:r>
        <w:rPr>
          <w:rFonts w:hint="eastAsia" w:ascii="宋体" w:hAnsi="宋体"/>
          <w:b/>
          <w:bCs/>
          <w:szCs w:val="21"/>
          <w:lang w:val="en-US" w:eastAsia="zh-CN"/>
        </w:rPr>
        <w:t>二</w:t>
      </w:r>
      <w:r>
        <w:rPr>
          <w:rFonts w:hint="eastAsia" w:ascii="宋体" w:hAnsi="宋体"/>
          <w:b/>
          <w:bCs/>
          <w:szCs w:val="21"/>
        </w:rPr>
        <w:t>）综合素质能力拓展学习</w:t>
      </w:r>
    </w:p>
    <w:p>
      <w:pPr>
        <w:spacing w:line="360" w:lineRule="auto"/>
        <w:ind w:firstLine="420" w:firstLineChars="200"/>
        <w:jc w:val="left"/>
        <w:rPr>
          <w:rFonts w:ascii="宋体" w:hAnsi="宋体"/>
          <w:b/>
          <w:szCs w:val="21"/>
        </w:rPr>
      </w:pPr>
      <w:r>
        <w:rPr>
          <w:rFonts w:hint="eastAsia" w:ascii="宋体" w:hAnsi="宋体"/>
          <w:szCs w:val="21"/>
        </w:rPr>
        <w:t>根据上级各部门的要求，大学生在校期间除按上述课程体系进程学习外，还应加强中国优秀传统文化教育、美育教育、国防知识教育、法制教育、安全教育、卫生健康教育、“防艾禁毒”教育等，依托</w:t>
      </w:r>
      <w:r>
        <w:rPr>
          <w:rFonts w:hint="eastAsia" w:ascii="宋体" w:hAnsi="宋体"/>
          <w:szCs w:val="21"/>
          <w:lang w:val="en-US" w:eastAsia="zh-CN"/>
        </w:rPr>
        <w:t>线上</w:t>
      </w:r>
      <w:r>
        <w:rPr>
          <w:rFonts w:hint="eastAsia" w:ascii="宋体" w:hAnsi="宋体"/>
          <w:szCs w:val="21"/>
        </w:rPr>
        <w:t>学习课程、专家讲座、专题讲座、主题报告会、主题班会等多方式、多途径开展，拓展学生综合素质。</w:t>
      </w:r>
    </w:p>
    <w:p>
      <w:pPr>
        <w:numPr>
          <w:ilvl w:val="0"/>
          <w:numId w:val="5"/>
        </w:numPr>
        <w:spacing w:line="360" w:lineRule="auto"/>
        <w:ind w:firstLine="422" w:firstLineChars="200"/>
        <w:jc w:val="left"/>
        <w:rPr>
          <w:rFonts w:hint="eastAsia" w:ascii="宋体" w:hAnsi="宋体"/>
          <w:b/>
          <w:szCs w:val="21"/>
        </w:rPr>
      </w:pPr>
      <w:r>
        <w:rPr>
          <w:rFonts w:hint="eastAsia" w:ascii="宋体" w:hAnsi="宋体"/>
          <w:b/>
          <w:szCs w:val="21"/>
        </w:rPr>
        <w:t>职业资格证书</w:t>
      </w:r>
    </w:p>
    <w:p>
      <w:pPr>
        <w:spacing w:line="360" w:lineRule="auto"/>
        <w:ind w:firstLine="420" w:firstLineChars="200"/>
        <w:rPr>
          <w:rFonts w:hint="eastAsia" w:ascii="宋体" w:hAnsi="宋体"/>
          <w:szCs w:val="21"/>
        </w:rPr>
      </w:pPr>
      <w:r>
        <w:rPr>
          <w:rFonts w:hint="eastAsia" w:ascii="宋体" w:hAnsi="宋体"/>
          <w:szCs w:val="21"/>
        </w:rPr>
        <w:t>按照《云南三鑫职业技术学院学分互认管理办法》（暂行）中第</w:t>
      </w:r>
      <w:r>
        <w:rPr>
          <w:rFonts w:hint="eastAsia" w:ascii="宋体" w:hAnsi="宋体"/>
          <w:szCs w:val="21"/>
          <w:lang w:val="en-US" w:eastAsia="zh-CN"/>
        </w:rPr>
        <w:t>一</w:t>
      </w:r>
      <w:r>
        <w:rPr>
          <w:rFonts w:hint="eastAsia" w:ascii="宋体" w:hAnsi="宋体"/>
          <w:szCs w:val="21"/>
        </w:rPr>
        <w:t>条的规定，高职扩招学生在校学期期间取得专业相关职业资格证书，将进行学分互认。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鼓励学生在校期间，通过参加学习、培训和考核，取得各类通用职业资格证书和专业职业资格证书。如普通话水平测试资格证书、英语应用能力考试证书、计算机等级证书、</w:t>
      </w:r>
      <w:r>
        <w:rPr>
          <w:rFonts w:hint="eastAsia" w:ascii="宋体" w:hAnsi="宋体"/>
          <w:szCs w:val="21"/>
          <w:lang w:val="en-US" w:eastAsia="zh-CN"/>
        </w:rPr>
        <w:t>职业</w:t>
      </w:r>
      <w:r>
        <w:rPr>
          <w:rFonts w:hint="eastAsia" w:ascii="宋体" w:hAnsi="宋体"/>
          <w:szCs w:val="21"/>
        </w:rPr>
        <w:t>资格证书等。</w:t>
      </w:r>
    </w:p>
    <w:p>
      <w:pPr>
        <w:spacing w:line="360" w:lineRule="auto"/>
        <w:ind w:firstLine="482" w:firstLineChars="200"/>
        <w:jc w:val="left"/>
        <w:rPr>
          <w:rFonts w:ascii="仿宋" w:hAnsi="仿宋" w:eastAsia="仿宋"/>
          <w:b/>
          <w:sz w:val="24"/>
          <w:szCs w:val="24"/>
        </w:rPr>
      </w:pPr>
      <w:r>
        <w:rPr>
          <w:rFonts w:hint="eastAsia" w:ascii="仿宋" w:hAnsi="仿宋" w:eastAsia="仿宋"/>
          <w:b/>
          <w:sz w:val="24"/>
          <w:szCs w:val="24"/>
        </w:rPr>
        <w:t>推荐获得的职业资格证书：</w:t>
      </w:r>
    </w:p>
    <w:tbl>
      <w:tblPr>
        <w:tblStyle w:val="7"/>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3180"/>
        <w:gridCol w:w="1743"/>
        <w:gridCol w:w="3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序号</w:t>
            </w:r>
          </w:p>
        </w:tc>
        <w:tc>
          <w:tcPr>
            <w:tcW w:w="31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名称</w:t>
            </w: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等级</w:t>
            </w:r>
          </w:p>
        </w:tc>
        <w:tc>
          <w:tcPr>
            <w:tcW w:w="3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颁证单位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1</w:t>
            </w:r>
          </w:p>
        </w:tc>
        <w:tc>
          <w:tcPr>
            <w:tcW w:w="31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全国高等学校英语应用能力</w:t>
            </w: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A级</w:t>
            </w:r>
          </w:p>
        </w:tc>
        <w:tc>
          <w:tcPr>
            <w:tcW w:w="3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全国高等学校英语应用能力考试委员会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2</w:t>
            </w:r>
          </w:p>
        </w:tc>
        <w:tc>
          <w:tcPr>
            <w:tcW w:w="31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计算机等级</w:t>
            </w: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一级B类</w:t>
            </w:r>
          </w:p>
        </w:tc>
        <w:tc>
          <w:tcPr>
            <w:tcW w:w="3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云南省教育厅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3</w:t>
            </w:r>
          </w:p>
        </w:tc>
        <w:tc>
          <w:tcPr>
            <w:tcW w:w="31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普通话</w:t>
            </w: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二级乙等</w:t>
            </w:r>
          </w:p>
        </w:tc>
        <w:tc>
          <w:tcPr>
            <w:tcW w:w="3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云南省语言语文字委员会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4</w:t>
            </w:r>
          </w:p>
        </w:tc>
        <w:tc>
          <w:tcPr>
            <w:tcW w:w="318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CAD应用技术</w:t>
            </w: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lang w:val="en-US" w:eastAsia="zh-CN"/>
              </w:rPr>
              <w:t>高级</w:t>
            </w:r>
          </w:p>
        </w:tc>
        <w:tc>
          <w:tcPr>
            <w:tcW w:w="327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全国职业能力测评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5</w:t>
            </w:r>
          </w:p>
        </w:tc>
        <w:tc>
          <w:tcPr>
            <w:tcW w:w="31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资料员</w:t>
            </w: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lang w:val="en-US" w:eastAsia="zh-CN"/>
              </w:rPr>
              <w:t>一</w:t>
            </w:r>
            <w:r>
              <w:rPr>
                <w:rFonts w:hint="eastAsia" w:ascii="宋体" w:hAnsi="宋体" w:cs="宋体"/>
                <w:kern w:val="0"/>
                <w:sz w:val="24"/>
                <w:szCs w:val="24"/>
              </w:rPr>
              <w:t>级</w:t>
            </w:r>
          </w:p>
        </w:tc>
        <w:tc>
          <w:tcPr>
            <w:tcW w:w="327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kern w:val="0"/>
                <w:sz w:val="24"/>
                <w:szCs w:val="24"/>
                <w:lang w:val="en-US" w:eastAsia="zh-CN"/>
              </w:rPr>
            </w:pPr>
            <w:r>
              <w:rPr>
                <w:rFonts w:hint="eastAsia" w:ascii="宋体" w:hAnsi="宋体" w:cs="宋体"/>
                <w:kern w:val="0"/>
                <w:sz w:val="24"/>
                <w:szCs w:val="24"/>
              </w:rPr>
              <w:t>云南省</w:t>
            </w:r>
            <w:r>
              <w:rPr>
                <w:rFonts w:hint="eastAsia" w:ascii="宋体" w:hAnsi="宋体" w:cs="宋体"/>
                <w:kern w:val="0"/>
                <w:sz w:val="24"/>
                <w:szCs w:val="24"/>
                <w:lang w:val="en-US" w:eastAsia="zh-CN"/>
              </w:rPr>
              <w:t>住建厅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6</w:t>
            </w:r>
          </w:p>
        </w:tc>
        <w:tc>
          <w:tcPr>
            <w:tcW w:w="31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建造师</w:t>
            </w: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lang w:val="en-US" w:eastAsia="zh-CN"/>
              </w:rPr>
              <w:t>二</w:t>
            </w:r>
            <w:r>
              <w:rPr>
                <w:rFonts w:hint="eastAsia" w:ascii="宋体" w:hAnsi="宋体" w:cs="宋体"/>
                <w:kern w:val="0"/>
                <w:sz w:val="24"/>
                <w:szCs w:val="24"/>
              </w:rPr>
              <w:t>级</w:t>
            </w:r>
          </w:p>
        </w:tc>
        <w:tc>
          <w:tcPr>
            <w:tcW w:w="3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云南省人力资源和社会保障厅</w:t>
            </w:r>
          </w:p>
        </w:tc>
      </w:tr>
    </w:tbl>
    <w:p>
      <w:pPr>
        <w:spacing w:line="360" w:lineRule="auto"/>
        <w:ind w:firstLine="211" w:firstLineChars="100"/>
        <w:jc w:val="left"/>
        <w:rPr>
          <w:rFonts w:hint="eastAsia"/>
          <w:b/>
          <w:szCs w:val="21"/>
        </w:rPr>
      </w:pPr>
      <w:r>
        <w:rPr>
          <w:rFonts w:hint="eastAsia" w:ascii="宋体" w:hAnsi="宋体"/>
          <w:b/>
          <w:szCs w:val="21"/>
          <w:lang w:eastAsia="zh-CN"/>
        </w:rPr>
        <w:t>（</w:t>
      </w:r>
      <w:r>
        <w:rPr>
          <w:rFonts w:hint="eastAsia" w:ascii="宋体" w:hAnsi="宋体"/>
          <w:b/>
          <w:szCs w:val="21"/>
          <w:lang w:val="en-US" w:eastAsia="zh-CN"/>
        </w:rPr>
        <w:t>四</w:t>
      </w:r>
      <w:r>
        <w:rPr>
          <w:rFonts w:hint="eastAsia" w:ascii="宋体" w:hAnsi="宋体"/>
          <w:b/>
          <w:szCs w:val="21"/>
          <w:lang w:eastAsia="zh-CN"/>
        </w:rPr>
        <w:t>）退役军人免修入学教育和军训直接认定学分。</w:t>
      </w:r>
    </w:p>
    <w:p>
      <w:pPr>
        <w:spacing w:line="360" w:lineRule="auto"/>
        <w:ind w:firstLine="630" w:firstLineChars="300"/>
        <w:rPr>
          <w:rFonts w:ascii="宋体" w:hAnsi="宋体"/>
          <w:szCs w:val="21"/>
        </w:rPr>
      </w:pP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FCDFCF01-A02F-4322-B78E-BB98CA774482}"/>
  </w:font>
  <w:font w:name="仿宋">
    <w:panose1 w:val="02010609060101010101"/>
    <w:charset w:val="86"/>
    <w:family w:val="auto"/>
    <w:pitch w:val="default"/>
    <w:sig w:usb0="800002BF" w:usb1="38CF7CFA" w:usb2="00000016" w:usb3="00000000" w:csb0="00040001" w:csb1="00000000"/>
    <w:embedRegular r:id="rId2" w:fontKey="{B3C56A7E-4EA4-47B5-848F-AD6F86081CD6}"/>
  </w:font>
  <w:font w:name="仿宋_GB2312">
    <w:altName w:val="仿宋"/>
    <w:panose1 w:val="00000000000000000000"/>
    <w:charset w:val="86"/>
    <w:family w:val="modern"/>
    <w:pitch w:val="default"/>
    <w:sig w:usb0="00000000" w:usb1="00000000" w:usb2="00000000" w:usb3="00000000" w:csb0="00040000" w:csb1="00000000"/>
    <w:embedRegular r:id="rId3" w:fontKey="{8D2590EE-A63A-4AA2-8FF3-E4BCCA09948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A7F727"/>
    <w:multiLevelType w:val="singleLevel"/>
    <w:tmpl w:val="97A7F727"/>
    <w:lvl w:ilvl="0" w:tentative="0">
      <w:start w:val="3"/>
      <w:numFmt w:val="chineseCounting"/>
      <w:suff w:val="nothing"/>
      <w:lvlText w:val="（%1）"/>
      <w:lvlJc w:val="left"/>
      <w:rPr>
        <w:rFonts w:hint="eastAsia"/>
      </w:rPr>
    </w:lvl>
  </w:abstractNum>
  <w:abstractNum w:abstractNumId="1">
    <w:nsid w:val="A271FDDB"/>
    <w:multiLevelType w:val="singleLevel"/>
    <w:tmpl w:val="A271FDDB"/>
    <w:lvl w:ilvl="0" w:tentative="0">
      <w:start w:val="1"/>
      <w:numFmt w:val="chineseCounting"/>
      <w:suff w:val="nothing"/>
      <w:lvlText w:val="（%1）"/>
      <w:lvlJc w:val="left"/>
      <w:rPr>
        <w:rFonts w:hint="eastAsia"/>
      </w:rPr>
    </w:lvl>
  </w:abstractNum>
  <w:abstractNum w:abstractNumId="2">
    <w:nsid w:val="A97523C9"/>
    <w:multiLevelType w:val="singleLevel"/>
    <w:tmpl w:val="A97523C9"/>
    <w:lvl w:ilvl="0" w:tentative="0">
      <w:start w:val="6"/>
      <w:numFmt w:val="decimal"/>
      <w:suff w:val="nothing"/>
      <w:lvlText w:val="%1、"/>
      <w:lvlJc w:val="left"/>
    </w:lvl>
  </w:abstractNum>
  <w:abstractNum w:abstractNumId="3">
    <w:nsid w:val="B9AD0EA9"/>
    <w:multiLevelType w:val="singleLevel"/>
    <w:tmpl w:val="B9AD0EA9"/>
    <w:lvl w:ilvl="0" w:tentative="0">
      <w:start w:val="14"/>
      <w:numFmt w:val="chineseCounting"/>
      <w:suff w:val="nothing"/>
      <w:lvlText w:val="%1、"/>
      <w:lvlJc w:val="left"/>
      <w:rPr>
        <w:rFonts w:hint="eastAsia"/>
      </w:rPr>
    </w:lvl>
  </w:abstractNum>
  <w:abstractNum w:abstractNumId="4">
    <w:nsid w:val="4E0D0132"/>
    <w:multiLevelType w:val="singleLevel"/>
    <w:tmpl w:val="4E0D0132"/>
    <w:lvl w:ilvl="0" w:tentative="0">
      <w:start w:val="1"/>
      <w:numFmt w:val="decimal"/>
      <w:suff w:val="nothing"/>
      <w:lvlText w:val="%1、"/>
      <w:lvlJc w:val="left"/>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Y2ZDI3MWQ1NjI0NTc2Y2Q1MTE5NjI1M2ZjZjk0YzYifQ=="/>
  </w:docVars>
  <w:rsids>
    <w:rsidRoot w:val="00B84AB4"/>
    <w:rsid w:val="00282468"/>
    <w:rsid w:val="002E73BA"/>
    <w:rsid w:val="00361E88"/>
    <w:rsid w:val="00453252"/>
    <w:rsid w:val="0070418E"/>
    <w:rsid w:val="00710598"/>
    <w:rsid w:val="008F10B9"/>
    <w:rsid w:val="00B84AB4"/>
    <w:rsid w:val="00C70EF6"/>
    <w:rsid w:val="00DB37FF"/>
    <w:rsid w:val="00F81B1C"/>
    <w:rsid w:val="00FA584E"/>
    <w:rsid w:val="04C00EDD"/>
    <w:rsid w:val="0BDB3715"/>
    <w:rsid w:val="10F90377"/>
    <w:rsid w:val="1265107F"/>
    <w:rsid w:val="167B12AD"/>
    <w:rsid w:val="19A62D38"/>
    <w:rsid w:val="1BC35AF4"/>
    <w:rsid w:val="1C1D2DA1"/>
    <w:rsid w:val="1E4A2945"/>
    <w:rsid w:val="20C62476"/>
    <w:rsid w:val="2199190D"/>
    <w:rsid w:val="275A1718"/>
    <w:rsid w:val="29047A09"/>
    <w:rsid w:val="2B9A0C13"/>
    <w:rsid w:val="2E903C71"/>
    <w:rsid w:val="3F390E32"/>
    <w:rsid w:val="4A726664"/>
    <w:rsid w:val="50D92558"/>
    <w:rsid w:val="51C51568"/>
    <w:rsid w:val="57590975"/>
    <w:rsid w:val="5EC538EE"/>
    <w:rsid w:val="65A7188B"/>
    <w:rsid w:val="66F4ACA2"/>
    <w:rsid w:val="67C37921"/>
    <w:rsid w:val="69BA5BCA"/>
    <w:rsid w:val="6A85069D"/>
    <w:rsid w:val="6AD06BC8"/>
    <w:rsid w:val="6B7457A6"/>
    <w:rsid w:val="70873185"/>
    <w:rsid w:val="7A4B5569"/>
    <w:rsid w:val="FFFF3A7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1"/>
    <w:autoRedefine/>
    <w:qFormat/>
    <w:uiPriority w:val="9"/>
    <w:pPr>
      <w:keepNext/>
      <w:keepLines/>
      <w:spacing w:before="260" w:after="260" w:line="416" w:lineRule="auto"/>
      <w:outlineLvl w:val="1"/>
    </w:pPr>
    <w:rPr>
      <w:rFonts w:ascii="Arial" w:hAnsi="Arial" w:eastAsia="黑体"/>
      <w:b/>
      <w:bCs/>
      <w:sz w:val="32"/>
      <w:szCs w:val="32"/>
    </w:rPr>
  </w:style>
  <w:style w:type="character" w:default="1" w:styleId="9">
    <w:name w:val="Default Paragraph Font"/>
    <w:autoRedefine/>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2"/>
    <w:autoRedefine/>
    <w:unhideWhenUsed/>
    <w:qFormat/>
    <w:uiPriority w:val="99"/>
    <w:pPr>
      <w:tabs>
        <w:tab w:val="center" w:pos="4153"/>
        <w:tab w:val="right" w:pos="8306"/>
      </w:tabs>
      <w:snapToGrid w:val="0"/>
      <w:jc w:val="left"/>
    </w:pPr>
    <w:rPr>
      <w:sz w:val="18"/>
      <w:szCs w:val="18"/>
    </w:rPr>
  </w:style>
  <w:style w:type="paragraph" w:styleId="4">
    <w:name w:val="header"/>
    <w:basedOn w:val="1"/>
    <w:link w:val="13"/>
    <w:autoRedefine/>
    <w:unhideWhenUsed/>
    <w:qFormat/>
    <w:uiPriority w:val="99"/>
    <w:pPr>
      <w:pBdr>
        <w:bottom w:val="single" w:color="auto" w:sz="6" w:space="1"/>
      </w:pBdr>
      <w:tabs>
        <w:tab w:val="center" w:pos="4153"/>
        <w:tab w:val="right" w:pos="8306"/>
      </w:tabs>
      <w:snapToGrid w:val="0"/>
      <w:jc w:val="center"/>
    </w:pPr>
    <w:rPr>
      <w:kern w:val="0"/>
      <w:sz w:val="18"/>
      <w:szCs w:val="20"/>
    </w:rPr>
  </w:style>
  <w:style w:type="paragraph" w:styleId="5">
    <w:name w:val="toc 1"/>
    <w:basedOn w:val="1"/>
    <w:next w:val="1"/>
    <w:semiHidden/>
    <w:unhideWhenUsed/>
    <w:qFormat/>
    <w:uiPriority w:val="39"/>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autoRedefine/>
    <w:qFormat/>
    <w:uiPriority w:val="0"/>
    <w:rPr>
      <w:color w:val="136EC2"/>
      <w:u w:val="single"/>
    </w:rPr>
  </w:style>
  <w:style w:type="character" w:customStyle="1" w:styleId="11">
    <w:name w:val="标题 2 Char"/>
    <w:basedOn w:val="9"/>
    <w:link w:val="2"/>
    <w:autoRedefine/>
    <w:qFormat/>
    <w:uiPriority w:val="9"/>
    <w:rPr>
      <w:rFonts w:ascii="Arial" w:hAnsi="Arial" w:eastAsia="黑体" w:cs="Times New Roman"/>
      <w:b/>
      <w:bCs/>
      <w:sz w:val="32"/>
      <w:szCs w:val="32"/>
    </w:rPr>
  </w:style>
  <w:style w:type="character" w:customStyle="1" w:styleId="12">
    <w:name w:val="页脚 Char"/>
    <w:basedOn w:val="9"/>
    <w:link w:val="3"/>
    <w:autoRedefine/>
    <w:qFormat/>
    <w:uiPriority w:val="99"/>
    <w:rPr>
      <w:rFonts w:ascii="Calibri" w:hAnsi="Calibri" w:eastAsia="宋体" w:cs="Times New Roman"/>
      <w:sz w:val="18"/>
      <w:szCs w:val="18"/>
    </w:rPr>
  </w:style>
  <w:style w:type="character" w:customStyle="1" w:styleId="13">
    <w:name w:val="页眉 Char"/>
    <w:basedOn w:val="9"/>
    <w:link w:val="4"/>
    <w:autoRedefine/>
    <w:qFormat/>
    <w:uiPriority w:val="99"/>
    <w:rPr>
      <w:rFonts w:ascii="Calibri" w:hAnsi="Calibri" w:eastAsia="宋体" w:cs="Times New Roman"/>
      <w:kern w:val="0"/>
      <w:sz w:val="18"/>
      <w:szCs w:val="20"/>
    </w:rPr>
  </w:style>
  <w:style w:type="paragraph" w:styleId="14">
    <w:name w:val="List Paragraph"/>
    <w:basedOn w:val="1"/>
    <w:autoRedefine/>
    <w:qFormat/>
    <w:uiPriority w:val="34"/>
    <w:pPr>
      <w:ind w:firstLine="420" w:firstLineChars="200"/>
    </w:pPr>
  </w:style>
  <w:style w:type="character" w:customStyle="1" w:styleId="15">
    <w:name w:val="font11"/>
    <w:basedOn w:val="9"/>
    <w:autoRedefine/>
    <w:qFormat/>
    <w:uiPriority w:val="0"/>
    <w:rPr>
      <w:rFonts w:hint="eastAsia" w:ascii="宋体" w:hAnsi="宋体" w:eastAsia="宋体" w:cs="宋体"/>
      <w:b/>
      <w:color w:val="000000"/>
      <w:sz w:val="18"/>
      <w:szCs w:val="18"/>
      <w:u w:val="none"/>
    </w:rPr>
  </w:style>
  <w:style w:type="character" w:customStyle="1" w:styleId="16">
    <w:name w:val="font21"/>
    <w:basedOn w:val="9"/>
    <w:autoRedefine/>
    <w:qFormat/>
    <w:uiPriority w:val="0"/>
    <w:rPr>
      <w:rFonts w:hint="eastAsia" w:ascii="宋体" w:hAnsi="宋体" w:eastAsia="宋体" w:cs="宋体"/>
      <w:color w:val="000000"/>
      <w:sz w:val="18"/>
      <w:szCs w:val="18"/>
      <w:u w:val="none"/>
    </w:rPr>
  </w:style>
  <w:style w:type="character" w:customStyle="1" w:styleId="17">
    <w:name w:val="font81"/>
    <w:basedOn w:val="9"/>
    <w:autoRedefine/>
    <w:qFormat/>
    <w:uiPriority w:val="0"/>
    <w:rPr>
      <w:rFonts w:hint="eastAsia" w:ascii="宋体" w:hAnsi="宋体" w:eastAsia="宋体" w:cs="宋体"/>
      <w:color w:val="000000"/>
      <w:sz w:val="15"/>
      <w:szCs w:val="15"/>
      <w:u w:val="none"/>
    </w:rPr>
  </w:style>
  <w:style w:type="character" w:customStyle="1" w:styleId="18">
    <w:name w:val="font41"/>
    <w:basedOn w:val="9"/>
    <w:autoRedefine/>
    <w:qFormat/>
    <w:uiPriority w:val="0"/>
    <w:rPr>
      <w:rFonts w:hint="eastAsia" w:ascii="宋体" w:hAnsi="宋体" w:eastAsia="宋体" w:cs="宋体"/>
      <w:b/>
      <w:color w:val="000000"/>
      <w:sz w:val="18"/>
      <w:szCs w:val="18"/>
      <w:u w:val="none"/>
    </w:rPr>
  </w:style>
  <w:style w:type="character" w:customStyle="1" w:styleId="19">
    <w:name w:val="font01"/>
    <w:basedOn w:val="9"/>
    <w:autoRedefine/>
    <w:qFormat/>
    <w:uiPriority w:val="0"/>
    <w:rPr>
      <w:rFonts w:hint="eastAsia" w:ascii="宋体" w:hAnsi="宋体" w:eastAsia="宋体" w:cs="宋体"/>
      <w:color w:val="000000"/>
      <w:sz w:val="15"/>
      <w:szCs w:val="15"/>
      <w:u w:val="none"/>
    </w:rPr>
  </w:style>
  <w:style w:type="paragraph" w:customStyle="1" w:styleId="20">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6506</Words>
  <Characters>6608</Characters>
  <Lines>59</Lines>
  <Paragraphs>16</Paragraphs>
  <TotalTime>0</TotalTime>
  <ScaleCrop>false</ScaleCrop>
  <LinksUpToDate>false</LinksUpToDate>
  <CharactersWithSpaces>6655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2019-09-10T06:37:00Z</dcterms:created>
  <dc:creator>Administrator</dc:creator>
  <cp:lastModifiedBy>xxxizyh</cp:lastModifiedBy>
  <dcterms:modified xsi:type="dcterms:W3CDTF">2024-02-07T10:39:37Z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D40102477EA640B4BA2EFB3B58407863</vt:lpwstr>
  </property>
</Properties>
</file>